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0" w:firstLineChars="50"/>
        <w:jc w:val="center"/>
        <w:outlineLvl w:val="0"/>
        <w:rPr>
          <w:rFonts w:ascii="仿宋_GB2312" w:hAnsi="Times New Roman" w:eastAsia="仿宋_GB2312" w:cs="Times New Roman"/>
          <w:sz w:val="24"/>
          <w:szCs w:val="24"/>
        </w:rPr>
      </w:pPr>
      <w:r>
        <w:rPr>
          <w:rFonts w:hint="eastAsia" w:ascii="华文中宋" w:hAnsi="华文中宋" w:eastAsia="华文中宋" w:cs="Times New Roman"/>
          <w:color w:val="000000"/>
          <w:sz w:val="28"/>
          <w:szCs w:val="28"/>
        </w:rPr>
        <w:t>高、低压变配电工程技术要求</w:t>
      </w:r>
    </w:p>
    <w:p>
      <w:pPr>
        <w:spacing w:before="156" w:beforeLines="50" w:line="360" w:lineRule="auto"/>
        <w:ind w:firstLine="360" w:firstLineChars="150"/>
        <w:rPr>
          <w:rFonts w:ascii="幼圆" w:hAnsi="宋体" w:eastAsia="幼圆" w:cs="Times New Roman"/>
          <w:b/>
          <w:bCs/>
          <w:sz w:val="24"/>
          <w:szCs w:val="24"/>
        </w:rPr>
      </w:pPr>
      <w:r>
        <w:rPr>
          <w:rFonts w:hint="eastAsia" w:ascii="宋体" w:hAnsi="宋体" w:eastAsia="宋体" w:cs="Times New Roman"/>
          <w:b/>
          <w:sz w:val="24"/>
          <w:szCs w:val="24"/>
        </w:rPr>
        <w:t>一、</w:t>
      </w:r>
      <w:r>
        <w:rPr>
          <w:rFonts w:hint="eastAsia" w:ascii="宋体" w:hAnsi="宋体" w:eastAsia="宋体" w:cs="Times New Roman"/>
          <w:b/>
          <w:bCs/>
          <w:sz w:val="24"/>
          <w:szCs w:val="24"/>
        </w:rPr>
        <w:t>工程验收标准</w:t>
      </w:r>
      <w:r>
        <w:rPr>
          <w:rFonts w:hint="eastAsia" w:ascii="幼圆" w:hAnsi="宋体" w:eastAsia="幼圆" w:cs="Times New Roman"/>
          <w:b/>
          <w:bCs/>
          <w:sz w:val="24"/>
          <w:szCs w:val="24"/>
        </w:rPr>
        <w:t>：</w:t>
      </w:r>
    </w:p>
    <w:p>
      <w:pPr>
        <w:spacing w:before="50" w:line="460" w:lineRule="exact"/>
        <w:ind w:left="960" w:hanging="480"/>
        <w:rPr>
          <w:rFonts w:ascii="宋体" w:hAnsi="宋体" w:eastAsia="宋体" w:cs="Times New Roman"/>
          <w:sz w:val="24"/>
          <w:szCs w:val="24"/>
          <w:highlight w:val="none"/>
        </w:rPr>
      </w:pPr>
      <w:r>
        <w:rPr>
          <w:rFonts w:hint="eastAsia" w:ascii="宋体" w:hAnsi="宋体" w:eastAsia="宋体" w:cs="Times New Roman"/>
          <w:sz w:val="24"/>
          <w:szCs w:val="24"/>
          <w:highlight w:val="none"/>
        </w:rPr>
        <w:t>（1）施工质量符合本工程施工图、项目所在地供电局批复意见、设计变更、图纸会审意见的要求，按现行高低压配电工程验收规范、电气工程验收规范、电气</w:t>
      </w:r>
      <w:bookmarkStart w:id="0" w:name="_GoBack"/>
      <w:bookmarkEnd w:id="0"/>
      <w:r>
        <w:rPr>
          <w:rFonts w:hint="eastAsia" w:ascii="宋体" w:hAnsi="宋体" w:eastAsia="宋体" w:cs="Times New Roman"/>
          <w:sz w:val="24"/>
          <w:szCs w:val="24"/>
          <w:highlight w:val="none"/>
        </w:rPr>
        <w:t>装置工程施工及验收规范及项目所在地相关验收规定进行验收，质量要求合格。</w:t>
      </w:r>
    </w:p>
    <w:p>
      <w:pPr>
        <w:widowControl/>
        <w:spacing w:line="360" w:lineRule="auto"/>
        <w:ind w:left="841" w:leftChars="172" w:hanging="480" w:hangingChars="200"/>
        <w:rPr>
          <w:rFonts w:ascii="宋体" w:hAnsi="宋体" w:eastAsia="宋体" w:cs="Times New Roman"/>
          <w:sz w:val="24"/>
          <w:szCs w:val="24"/>
        </w:rPr>
      </w:pPr>
      <w:r>
        <w:rPr>
          <w:rFonts w:hint="eastAsia" w:ascii="宋体" w:hAnsi="宋体" w:eastAsia="宋体" w:cs="Times New Roman"/>
          <w:sz w:val="24"/>
          <w:szCs w:val="24"/>
        </w:rPr>
        <w:t>（2）乙方应按施工及验收规范、项目所在地供电部门相关规定对设备及材料进行送检,并负责办理入网及有关手续。设备的节能检测及相关的节能验收等含在本工程招标范围。如甲方在规范、规定之外，额外认为需要委托送检的，乙方必须配合做好送检工作，如检测合格，检测费由甲方支付，如检测不合格，除检测费由乙方支付外，乙方尚需承担由此引起的一切责任。</w:t>
      </w:r>
    </w:p>
    <w:p>
      <w:pPr>
        <w:spacing w:line="360" w:lineRule="auto"/>
        <w:ind w:left="-79" w:leftChars="-38" w:firstLine="580" w:firstLineChars="242"/>
        <w:rPr>
          <w:rFonts w:ascii="宋体" w:hAnsi="宋体" w:eastAsia="宋体" w:cs="Times New Roman"/>
          <w:sz w:val="24"/>
          <w:szCs w:val="24"/>
        </w:rPr>
      </w:pPr>
      <w:r>
        <w:rPr>
          <w:rFonts w:hint="eastAsia" w:ascii="宋体" w:hAnsi="宋体" w:eastAsia="宋体" w:cs="Times New Roman"/>
          <w:sz w:val="24"/>
          <w:szCs w:val="24"/>
        </w:rPr>
        <w:t>（3）具体标准为：</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1）《工程建设标准强制性条文》2002年版</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sz w:val="24"/>
          <w:szCs w:val="24"/>
        </w:rPr>
        <w:t>电气装置安装工程电力变压器、油浸电抗器、互感器施工及验收规范</w:t>
      </w:r>
      <w:r>
        <w:rPr>
          <w:rFonts w:hint="eastAsia" w:ascii="宋体" w:hAnsi="宋体" w:eastAsia="宋体" w:cs="Times New Roman"/>
          <w:color w:val="000000"/>
          <w:sz w:val="24"/>
          <w:szCs w:val="24"/>
        </w:rPr>
        <w:t>》（</w:t>
      </w:r>
      <w:r>
        <w:rPr>
          <w:rFonts w:hint="eastAsia" w:ascii="宋体" w:hAnsi="宋体" w:eastAsia="宋体" w:cs="Times New Roman"/>
          <w:sz w:val="24"/>
          <w:szCs w:val="24"/>
        </w:rPr>
        <w:t>GBJ 148-1990</w:t>
      </w:r>
      <w:r>
        <w:rPr>
          <w:rFonts w:hint="eastAsia" w:ascii="宋体" w:hAnsi="宋体" w:eastAsia="宋体" w:cs="Times New Roman"/>
          <w:color w:val="000000"/>
          <w:sz w:val="24"/>
          <w:szCs w:val="24"/>
        </w:rPr>
        <w:t>）</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3）《</w:t>
      </w:r>
      <w:r>
        <w:rPr>
          <w:rFonts w:hint="eastAsia" w:ascii="宋体" w:hAnsi="宋体" w:eastAsia="宋体" w:cs="Times New Roman"/>
          <w:sz w:val="24"/>
          <w:szCs w:val="24"/>
        </w:rPr>
        <w:t>电气装置安装工程母线装置施工及验收规范</w:t>
      </w:r>
      <w:r>
        <w:rPr>
          <w:rFonts w:hint="eastAsia" w:ascii="宋体" w:hAnsi="宋体" w:eastAsia="宋体" w:cs="Times New Roman"/>
          <w:color w:val="000000"/>
          <w:sz w:val="24"/>
          <w:szCs w:val="24"/>
        </w:rPr>
        <w:t>》（</w:t>
      </w:r>
      <w:r>
        <w:rPr>
          <w:rFonts w:hint="eastAsia" w:ascii="宋体" w:hAnsi="宋体" w:eastAsia="宋体" w:cs="Times New Roman"/>
          <w:sz w:val="24"/>
          <w:szCs w:val="24"/>
        </w:rPr>
        <w:t>GBJ 149-1990</w:t>
      </w:r>
      <w:r>
        <w:rPr>
          <w:rFonts w:hint="eastAsia" w:ascii="宋体" w:hAnsi="宋体" w:eastAsia="宋体" w:cs="Times New Roman"/>
          <w:color w:val="000000"/>
          <w:sz w:val="24"/>
          <w:szCs w:val="24"/>
        </w:rPr>
        <w:t>）</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4）《</w:t>
      </w:r>
      <w:r>
        <w:rPr>
          <w:rFonts w:hint="eastAsia" w:ascii="宋体" w:hAnsi="宋体" w:eastAsia="宋体" w:cs="Times New Roman"/>
          <w:sz w:val="24"/>
          <w:szCs w:val="24"/>
        </w:rPr>
        <w:t>电气装置安装工程电缆线路施工及验收规范</w:t>
      </w:r>
      <w:r>
        <w:rPr>
          <w:rFonts w:hint="eastAsia" w:ascii="宋体" w:hAnsi="宋体" w:eastAsia="宋体" w:cs="Times New Roman"/>
          <w:color w:val="000000"/>
          <w:sz w:val="24"/>
          <w:szCs w:val="24"/>
        </w:rPr>
        <w:t>》（</w:t>
      </w:r>
      <w:r>
        <w:rPr>
          <w:rFonts w:hint="eastAsia" w:ascii="宋体" w:hAnsi="宋体" w:eastAsia="宋体" w:cs="Times New Roman"/>
          <w:sz w:val="24"/>
          <w:szCs w:val="24"/>
        </w:rPr>
        <w:t>GB 50168-1992</w:t>
      </w:r>
      <w:r>
        <w:rPr>
          <w:rFonts w:hint="eastAsia" w:ascii="宋体" w:hAnsi="宋体" w:eastAsia="宋体" w:cs="Times New Roman"/>
          <w:color w:val="000000"/>
          <w:sz w:val="24"/>
          <w:szCs w:val="24"/>
        </w:rPr>
        <w:t>）</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sz w:val="24"/>
          <w:szCs w:val="24"/>
        </w:rPr>
        <w:t>5）《电气装置安装工程接地装置施工及验收规范》（GB 50169-1992）</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6）《</w:t>
      </w:r>
      <w:r>
        <w:rPr>
          <w:rFonts w:hint="eastAsia" w:ascii="宋体" w:hAnsi="宋体" w:eastAsia="宋体" w:cs="Times New Roman"/>
          <w:sz w:val="24"/>
          <w:szCs w:val="24"/>
        </w:rPr>
        <w:t>电气装置安装工程盘、柜及二次回路结线施工及验收规范</w:t>
      </w:r>
      <w:r>
        <w:rPr>
          <w:rFonts w:hint="eastAsia" w:ascii="宋体" w:hAnsi="宋体" w:eastAsia="宋体" w:cs="Times New Roman"/>
          <w:color w:val="000000"/>
          <w:sz w:val="24"/>
          <w:szCs w:val="24"/>
        </w:rPr>
        <w:t>》（</w:t>
      </w:r>
      <w:r>
        <w:rPr>
          <w:rFonts w:hint="eastAsia" w:ascii="宋体" w:hAnsi="宋体" w:eastAsia="宋体" w:cs="Times New Roman"/>
          <w:sz w:val="24"/>
          <w:szCs w:val="24"/>
        </w:rPr>
        <w:t>GB 50171-1992</w:t>
      </w:r>
      <w:r>
        <w:rPr>
          <w:rFonts w:hint="eastAsia" w:ascii="宋体" w:hAnsi="宋体" w:eastAsia="宋体" w:cs="Times New Roman"/>
          <w:color w:val="000000"/>
          <w:sz w:val="24"/>
          <w:szCs w:val="24"/>
        </w:rPr>
        <w:t>）</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7）《</w:t>
      </w:r>
      <w:r>
        <w:rPr>
          <w:rFonts w:hint="eastAsia" w:ascii="宋体" w:hAnsi="宋体" w:eastAsia="宋体" w:cs="Times New Roman"/>
          <w:sz w:val="24"/>
          <w:szCs w:val="24"/>
        </w:rPr>
        <w:t>电气装置安装工程蓄电池施工及验收规范</w:t>
      </w:r>
      <w:r>
        <w:rPr>
          <w:rFonts w:hint="eastAsia" w:ascii="宋体" w:hAnsi="宋体" w:eastAsia="宋体" w:cs="Times New Roman"/>
          <w:color w:val="000000"/>
          <w:sz w:val="24"/>
          <w:szCs w:val="24"/>
        </w:rPr>
        <w:t>》（</w:t>
      </w:r>
      <w:r>
        <w:rPr>
          <w:rFonts w:hint="eastAsia" w:ascii="宋体" w:hAnsi="宋体" w:eastAsia="宋体" w:cs="Times New Roman"/>
          <w:sz w:val="24"/>
          <w:szCs w:val="24"/>
        </w:rPr>
        <w:t>GB50172-1992</w:t>
      </w:r>
      <w:r>
        <w:rPr>
          <w:rFonts w:hint="eastAsia" w:ascii="宋体" w:hAnsi="宋体" w:eastAsia="宋体" w:cs="Times New Roman"/>
          <w:color w:val="000000"/>
          <w:sz w:val="24"/>
          <w:szCs w:val="24"/>
        </w:rPr>
        <w:t>）</w:t>
      </w:r>
    </w:p>
    <w:p>
      <w:pPr>
        <w:tabs>
          <w:tab w:val="left" w:pos="1560"/>
        </w:tabs>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8）《电气装置安装工程电气设备交接试验标准》（GB50150-91）</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9）《</w:t>
      </w:r>
      <w:r>
        <w:rPr>
          <w:rFonts w:hint="eastAsia" w:ascii="宋体" w:hAnsi="宋体" w:eastAsia="宋体" w:cs="Times New Roman"/>
          <w:sz w:val="24"/>
          <w:szCs w:val="24"/>
        </w:rPr>
        <w:t>建筑电气安装工程质量检验评定标准</w:t>
      </w:r>
      <w:r>
        <w:rPr>
          <w:rFonts w:hint="eastAsia" w:ascii="宋体" w:hAnsi="宋体" w:eastAsia="宋体" w:cs="Times New Roman"/>
          <w:color w:val="000000"/>
          <w:sz w:val="24"/>
          <w:szCs w:val="24"/>
        </w:rPr>
        <w:t>》（</w:t>
      </w:r>
      <w:r>
        <w:rPr>
          <w:rFonts w:hint="eastAsia" w:ascii="宋体" w:hAnsi="宋体" w:eastAsia="宋体" w:cs="Times New Roman"/>
          <w:sz w:val="24"/>
          <w:szCs w:val="24"/>
        </w:rPr>
        <w:t>GBJ 303-1988</w:t>
      </w:r>
      <w:r>
        <w:rPr>
          <w:rFonts w:hint="eastAsia" w:ascii="宋体" w:hAnsi="宋体" w:eastAsia="宋体" w:cs="Times New Roman"/>
          <w:color w:val="000000"/>
          <w:sz w:val="24"/>
          <w:szCs w:val="24"/>
        </w:rPr>
        <w:t>）</w:t>
      </w:r>
    </w:p>
    <w:p>
      <w:pPr>
        <w:tabs>
          <w:tab w:val="left" w:pos="1560"/>
        </w:tabs>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10）《建筑电气工程施工质量验收规范》（GB50303-2002）</w:t>
      </w:r>
    </w:p>
    <w:p>
      <w:pPr>
        <w:tabs>
          <w:tab w:val="left" w:pos="1560"/>
        </w:tabs>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11）《电气装置安装工程高压电器施工及验收规范》（GBJ147-90）</w:t>
      </w:r>
    </w:p>
    <w:p>
      <w:pPr>
        <w:tabs>
          <w:tab w:val="left" w:pos="1560"/>
        </w:tabs>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12）《电气装置安装工程低压电器施工及验收规范》（GB50254-96）</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13）《低压成套开关设备基本试验方法》（GB998-82）</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14）《低压成套开关设备验收规程》（CECS 49：93）</w:t>
      </w:r>
    </w:p>
    <w:p>
      <w:pPr>
        <w:tabs>
          <w:tab w:val="left" w:pos="1560"/>
        </w:tabs>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15）《干式电力变压器选用、验收、运行及维护规程》（GB50254-96）</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16）《低压配电设计规范》（GB50054-95）</w:t>
      </w:r>
    </w:p>
    <w:p>
      <w:pPr>
        <w:tabs>
          <w:tab w:val="left" w:pos="1560"/>
        </w:tabs>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17）《10KV及以下变电所设计规范》（GB50053-94）</w:t>
      </w:r>
    </w:p>
    <w:p>
      <w:pPr>
        <w:tabs>
          <w:tab w:val="left" w:pos="1560"/>
        </w:tabs>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18）《3~110KV高压配电装置设计规范》（GB50053-94）</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19）《低压成套开关设备和控制设备》（GB7251.1）</w:t>
      </w:r>
    </w:p>
    <w:p>
      <w:pPr>
        <w:spacing w:line="360" w:lineRule="auto"/>
        <w:ind w:left="420"/>
        <w:rPr>
          <w:rFonts w:ascii="宋体" w:hAnsi="宋体" w:eastAsia="宋体" w:cs="Times New Roman"/>
          <w:color w:val="000000"/>
          <w:sz w:val="24"/>
          <w:szCs w:val="24"/>
        </w:rPr>
      </w:pPr>
      <w:r>
        <w:rPr>
          <w:rFonts w:hint="eastAsia" w:ascii="宋体" w:hAnsi="宋体" w:eastAsia="宋体" w:cs="Times New Roman"/>
          <w:color w:val="000000"/>
          <w:sz w:val="24"/>
          <w:szCs w:val="24"/>
        </w:rPr>
        <w:t>20）国家现行的其他相关的规范与标准</w:t>
      </w:r>
    </w:p>
    <w:p>
      <w:pPr>
        <w:spacing w:line="360" w:lineRule="auto"/>
        <w:ind w:left="420"/>
        <w:rPr>
          <w:rFonts w:ascii="幼圆" w:hAnsi="Times New Roman" w:eastAsia="幼圆" w:cs="Times New Roman"/>
          <w:sz w:val="24"/>
          <w:szCs w:val="24"/>
        </w:rPr>
      </w:pPr>
      <w:r>
        <w:rPr>
          <w:rFonts w:hint="eastAsia" w:ascii="宋体" w:hAnsi="宋体" w:eastAsia="宋体" w:cs="Times New Roman"/>
          <w:color w:val="000000"/>
          <w:sz w:val="24"/>
          <w:szCs w:val="24"/>
        </w:rPr>
        <w:t>21)</w:t>
      </w:r>
      <w:r>
        <w:rPr>
          <w:rFonts w:hint="eastAsia" w:ascii="宋体" w:hAnsi="宋体" w:eastAsia="宋体" w:cs="Times New Roman"/>
          <w:sz w:val="24"/>
          <w:szCs w:val="24"/>
        </w:rPr>
        <w:t xml:space="preserve"> 订货或施工时甲方所提出的相关要求，符合甲方测评技术标准,测评分数不低于90分。</w:t>
      </w:r>
    </w:p>
    <w:p>
      <w:pPr>
        <w:spacing w:line="360" w:lineRule="auto"/>
        <w:ind w:firstLine="360" w:firstLineChars="150"/>
        <w:rPr>
          <w:rFonts w:ascii="宋体" w:hAnsi="宋体" w:eastAsia="宋体" w:cs="Times New Roman"/>
          <w:color w:val="000000"/>
          <w:sz w:val="24"/>
          <w:szCs w:val="24"/>
        </w:rPr>
      </w:pPr>
      <w:r>
        <w:rPr>
          <w:rFonts w:hint="eastAsia" w:ascii="宋体" w:hAnsi="宋体" w:eastAsia="宋体" w:cs="Times New Roman"/>
          <w:color w:val="000000"/>
          <w:sz w:val="24"/>
          <w:szCs w:val="24"/>
        </w:rPr>
        <w:t>如上述规范及标准有最新的版本或修改,应以本工程实施时执行的最新规范和标准为最后标准。</w:t>
      </w:r>
    </w:p>
    <w:p>
      <w:pPr>
        <w:spacing w:line="360" w:lineRule="auto"/>
        <w:rPr>
          <w:rFonts w:ascii="Times New Roman" w:hAnsi="Times New Roman" w:eastAsia="宋体" w:cs="Times New Roman"/>
          <w:color w:val="000000"/>
          <w:sz w:val="24"/>
          <w:szCs w:val="24"/>
        </w:rPr>
      </w:pPr>
      <w:r>
        <w:rPr>
          <w:rFonts w:hint="eastAsia" w:ascii="宋体" w:hAnsi="宋体" w:eastAsia="宋体" w:cs="Times New Roman"/>
          <w:b/>
          <w:sz w:val="24"/>
          <w:szCs w:val="24"/>
        </w:rPr>
        <w:t>二、</w:t>
      </w:r>
      <w:r>
        <w:rPr>
          <w:rFonts w:hint="eastAsia" w:ascii="Times New Roman" w:hAnsi="Times New Roman" w:eastAsia="宋体" w:cs="Times New Roman"/>
          <w:b/>
          <w:sz w:val="24"/>
          <w:szCs w:val="24"/>
        </w:rPr>
        <w:t>技术要求</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1、一般要求</w:t>
      </w:r>
    </w:p>
    <w:p>
      <w:pPr>
        <w:spacing w:line="360" w:lineRule="auto"/>
        <w:ind w:left="990" w:leftChars="300" w:hanging="360" w:hangingChars="150"/>
        <w:rPr>
          <w:rFonts w:ascii="Times New Roman" w:hAnsi="Times New Roman" w:eastAsia="宋体" w:cs="Times New Roman"/>
          <w:sz w:val="24"/>
          <w:szCs w:val="24"/>
        </w:rPr>
      </w:pPr>
      <w:r>
        <w:rPr>
          <w:rFonts w:hint="eastAsia" w:ascii="Times New Roman" w:hAnsi="Times New Roman" w:eastAsia="宋体" w:cs="Times New Roman"/>
          <w:sz w:val="24"/>
          <w:szCs w:val="24"/>
        </w:rPr>
        <w:t>1.1 施工图与本技术要求不一致时，以本技术要求为准，本技术要求未尽部分，按施工图执行</w:t>
      </w:r>
      <w:r>
        <w:rPr>
          <w:rFonts w:hint="eastAsia" w:ascii="宋体" w:hAnsi="宋体" w:eastAsia="宋体" w:cs="Times New Roman"/>
          <w:sz w:val="24"/>
          <w:szCs w:val="24"/>
        </w:rPr>
        <w:t>。</w:t>
      </w:r>
    </w:p>
    <w:p>
      <w:pPr>
        <w:spacing w:line="360" w:lineRule="auto"/>
        <w:ind w:left="990" w:leftChars="300" w:hanging="360" w:hangingChars="150"/>
        <w:rPr>
          <w:rFonts w:ascii="Times New Roman" w:hAnsi="Times New Roman" w:eastAsia="宋体" w:cs="Times New Roman"/>
          <w:sz w:val="24"/>
          <w:szCs w:val="24"/>
        </w:rPr>
      </w:pPr>
      <w:r>
        <w:rPr>
          <w:rFonts w:hint="eastAsia" w:ascii="Times New Roman" w:hAnsi="Times New Roman" w:eastAsia="宋体" w:cs="Times New Roman"/>
          <w:sz w:val="24"/>
          <w:szCs w:val="24"/>
        </w:rPr>
        <w:t>1.2凡图纸和本技术要求未提及的，但为实际需要的设备、器件等，施工单位也应在实施中完善。</w:t>
      </w:r>
    </w:p>
    <w:p>
      <w:pPr>
        <w:spacing w:line="360" w:lineRule="auto"/>
        <w:ind w:firstLine="840" w:firstLineChars="350"/>
        <w:rPr>
          <w:rFonts w:ascii="Times New Roman" w:hAnsi="Times New Roman" w:eastAsia="宋体" w:cs="Times New Roman"/>
          <w:color w:val="000000"/>
          <w:sz w:val="24"/>
          <w:szCs w:val="24"/>
        </w:rPr>
      </w:pPr>
      <w:r>
        <w:rPr>
          <w:rFonts w:hint="eastAsia" w:ascii="Times New Roman" w:hAnsi="Times New Roman" w:eastAsia="宋体" w:cs="Times New Roman"/>
          <w:sz w:val="24"/>
          <w:szCs w:val="24"/>
        </w:rPr>
        <w:t>1.3所提供的产品</w:t>
      </w:r>
      <w:r>
        <w:rPr>
          <w:rFonts w:hint="eastAsia" w:ascii="宋体" w:hAnsi="宋体" w:eastAsia="宋体" w:cs="Times New Roman"/>
          <w:color w:val="000000"/>
          <w:sz w:val="24"/>
          <w:szCs w:val="21"/>
        </w:rPr>
        <w:t>要求全新、</w:t>
      </w:r>
      <w:r>
        <w:rPr>
          <w:rFonts w:ascii="宋体" w:hAnsi="宋体" w:eastAsia="宋体" w:cs="Times New Roman"/>
          <w:color w:val="000000"/>
          <w:sz w:val="24"/>
          <w:szCs w:val="21"/>
        </w:rPr>
        <w:t>完整无损</w:t>
      </w:r>
      <w:r>
        <w:rPr>
          <w:rFonts w:hint="eastAsia" w:ascii="宋体" w:hAnsi="宋体" w:eastAsia="宋体" w:cs="Times New Roman"/>
          <w:color w:val="000000"/>
          <w:sz w:val="24"/>
          <w:szCs w:val="21"/>
        </w:rPr>
        <w:t>并</w:t>
      </w:r>
      <w:r>
        <w:rPr>
          <w:rFonts w:hint="eastAsia" w:ascii="Times New Roman" w:hAnsi="Times New Roman" w:eastAsia="宋体" w:cs="Times New Roman"/>
          <w:sz w:val="24"/>
          <w:szCs w:val="24"/>
        </w:rPr>
        <w:t>提供两年的质量保证期。</w:t>
      </w:r>
    </w:p>
    <w:p>
      <w:pPr>
        <w:spacing w:line="360" w:lineRule="auto"/>
        <w:ind w:left="990" w:leftChars="300" w:hanging="360" w:hangingChars="150"/>
        <w:rPr>
          <w:rFonts w:ascii="Times New Roman" w:hAnsi="Times New Roman" w:eastAsia="宋体" w:cs="Times New Roman"/>
          <w:sz w:val="24"/>
          <w:szCs w:val="24"/>
        </w:rPr>
      </w:pPr>
      <w:r>
        <w:rPr>
          <w:rFonts w:hint="eastAsia" w:ascii="Times New Roman" w:hAnsi="Times New Roman" w:eastAsia="宋体" w:cs="Times New Roman"/>
          <w:sz w:val="24"/>
          <w:szCs w:val="24"/>
        </w:rPr>
        <w:t>1.4施工单位提供的产品及设备安装（含外线施工）应满足国家及项目所在地供电部门相应的标准及规范，并能够保证一次性通过项目所在地供电部门的验收以及安全送电。</w:t>
      </w:r>
    </w:p>
    <w:p>
      <w:pPr>
        <w:spacing w:line="360" w:lineRule="auto"/>
        <w:ind w:left="1110" w:leftChars="300" w:hanging="480" w:hangingChars="200"/>
        <w:rPr>
          <w:rFonts w:ascii="Times New Roman" w:hAnsi="宋体" w:eastAsia="宋体" w:cs="Times New Roman"/>
          <w:bCs/>
          <w:color w:val="000000"/>
          <w:sz w:val="24"/>
          <w:szCs w:val="24"/>
        </w:rPr>
      </w:pPr>
      <w:r>
        <w:rPr>
          <w:rFonts w:hint="eastAsia" w:ascii="Times New Roman" w:hAnsi="Times New Roman" w:eastAsia="宋体" w:cs="Times New Roman"/>
          <w:sz w:val="24"/>
          <w:szCs w:val="24"/>
        </w:rPr>
        <w:t>1.5施工单位必须提供设备的合格证、生产许可证、入网许可证、产品使用说明书（含技术参数、产地等）</w:t>
      </w:r>
      <w:r>
        <w:rPr>
          <w:rFonts w:hint="eastAsia" w:ascii="Times New Roman" w:hAnsi="宋体" w:eastAsia="宋体" w:cs="Times New Roman"/>
          <w:bCs/>
          <w:color w:val="000000"/>
          <w:sz w:val="24"/>
          <w:szCs w:val="24"/>
        </w:rPr>
        <w:t>。</w:t>
      </w:r>
    </w:p>
    <w:p>
      <w:pPr>
        <w:spacing w:line="360" w:lineRule="auto"/>
        <w:ind w:left="1116" w:leftChars="303" w:hanging="480" w:hangingChars="200"/>
        <w:rPr>
          <w:rFonts w:ascii="宋体" w:hAnsi="宋体" w:eastAsia="宋体" w:cs="Times New Roman"/>
          <w:sz w:val="24"/>
          <w:szCs w:val="24"/>
        </w:rPr>
      </w:pPr>
      <w:r>
        <w:rPr>
          <w:rFonts w:hint="eastAsia" w:ascii="Times New Roman" w:hAnsi="Times New Roman" w:eastAsia="宋体" w:cs="Times New Roman"/>
          <w:sz w:val="24"/>
          <w:szCs w:val="24"/>
        </w:rPr>
        <w:t>1.6</w:t>
      </w:r>
      <w:r>
        <w:rPr>
          <w:rFonts w:hint="eastAsia" w:ascii="宋体" w:hAnsi="宋体" w:eastAsia="宋体" w:cs="Times New Roman"/>
          <w:sz w:val="24"/>
          <w:szCs w:val="24"/>
          <w:highlight w:val="yellow"/>
        </w:rPr>
        <w:t>设计图纸是本技术文件的有效组成部分（但</w:t>
      </w:r>
      <w:r>
        <w:rPr>
          <w:rFonts w:hint="eastAsia" w:ascii="Times New Roman" w:hAnsi="Times New Roman" w:eastAsia="宋体" w:cs="Times New Roman"/>
          <w:sz w:val="24"/>
          <w:szCs w:val="24"/>
          <w:highlight w:val="yellow"/>
        </w:rPr>
        <w:t>图纸及清单与本技术要求不符之处，以本技术要求及当地供电部门审核通过的图纸为准）</w:t>
      </w:r>
      <w:r>
        <w:rPr>
          <w:rFonts w:hint="eastAsia" w:ascii="宋体" w:hAnsi="宋体" w:eastAsia="宋体" w:cs="Times New Roman"/>
          <w:sz w:val="24"/>
          <w:szCs w:val="24"/>
        </w:rPr>
        <w:t>，施工单位不得随意修改设计参数，否则视为违约。</w:t>
      </w:r>
      <w:r>
        <w:rPr>
          <w:rFonts w:hint="eastAsia" w:ascii="Times New Roman" w:hAnsi="Times New Roman" w:eastAsia="宋体" w:cs="Times New Roman"/>
          <w:sz w:val="24"/>
          <w:szCs w:val="24"/>
        </w:rPr>
        <w:t>如设计图纸有表达不明确或错误的部分，施工单位应及时提出并加以完善。签订合同后，如甲方原因产生修改要求，施工单位应予以配合，具体内容由双方共同协商。</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1.7 </w:t>
      </w:r>
      <w:r>
        <w:rPr>
          <w:rFonts w:hint="eastAsia" w:ascii="Times New Roman" w:hAnsi="Times New Roman" w:eastAsia="宋体" w:cs="Times New Roman"/>
          <w:sz w:val="24"/>
          <w:szCs w:val="24"/>
          <w:highlight w:val="yellow"/>
        </w:rPr>
        <w:t>施工单位负责完成本项目变配电工程（含高压外线），根据本项目所在地市供电局的审核通过的图纸施工及报验通电、装表、电表采集及数据收录、电房移交供电局等所有高低压工程的安装及配合</w:t>
      </w:r>
      <w:r>
        <w:rPr>
          <w:rFonts w:ascii="Times New Roman" w:hAnsi="Times New Roman" w:eastAsia="宋体" w:cs="Times New Roman"/>
          <w:sz w:val="24"/>
          <w:szCs w:val="24"/>
          <w:highlight w:val="yellow"/>
        </w:rPr>
        <w:t>工作</w:t>
      </w:r>
      <w:r>
        <w:rPr>
          <w:rFonts w:hint="eastAsia" w:ascii="Times New Roman" w:hAnsi="Times New Roman" w:eastAsia="宋体" w:cs="Times New Roman"/>
          <w:sz w:val="24"/>
          <w:szCs w:val="24"/>
          <w:highlight w:val="yellow"/>
        </w:rPr>
        <w:t>，负责本项目变配电工程勘查、测试、验收、送电等全部工程及手续</w:t>
      </w:r>
      <w:r>
        <w:rPr>
          <w:rFonts w:hint="eastAsia" w:ascii="Times New Roman" w:hAnsi="Times New Roman" w:eastAsia="宋体" w:cs="Times New Roman"/>
          <w:sz w:val="24"/>
          <w:szCs w:val="24"/>
        </w:rPr>
        <w:t>。</w:t>
      </w:r>
    </w:p>
    <w:p>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   2、</w:t>
      </w:r>
      <w:r>
        <w:rPr>
          <w:rFonts w:hint="eastAsia" w:ascii="Times New Roman" w:hAnsi="Times New Roman" w:eastAsia="宋体" w:cs="Times New Roman"/>
          <w:sz w:val="24"/>
          <w:szCs w:val="24"/>
        </w:rPr>
        <w:t>高压配电柜技术要求</w:t>
      </w:r>
    </w:p>
    <w:p>
      <w:pPr>
        <w:spacing w:line="360" w:lineRule="auto"/>
        <w:ind w:left="990" w:leftChars="300" w:hanging="360" w:hangingChars="150"/>
        <w:rPr>
          <w:rFonts w:ascii="Times New Roman" w:hAnsi="Times New Roman" w:eastAsia="宋体" w:cs="Times New Roman"/>
          <w:sz w:val="24"/>
          <w:szCs w:val="24"/>
        </w:rPr>
      </w:pPr>
      <w:r>
        <w:rPr>
          <w:rFonts w:hint="eastAsia" w:ascii="宋体" w:hAnsi="宋体" w:eastAsia="宋体" w:cs="Times New Roman"/>
          <w:sz w:val="24"/>
          <w:szCs w:val="24"/>
        </w:rPr>
        <w:t>2.1</w:t>
      </w:r>
      <w:r>
        <w:rPr>
          <w:rFonts w:hint="eastAsia" w:ascii="Times New Roman" w:hAnsi="Times New Roman" w:eastAsia="宋体" w:cs="Times New Roman"/>
          <w:sz w:val="24"/>
          <w:szCs w:val="24"/>
        </w:rPr>
        <w:t>所提供的产品必须满足我国的高压开关制造、安装等国家标准和部颁行业标准以及项目所在地市供电部门的相关规定；必须提供产品型式试验报告；必须提供我国有关单位试验报告及合格证书。</w:t>
      </w:r>
    </w:p>
    <w:p>
      <w:pPr>
        <w:spacing w:line="360" w:lineRule="auto"/>
        <w:ind w:left="990" w:leftChars="300" w:hanging="360" w:hangingChars="150"/>
        <w:rPr>
          <w:rFonts w:ascii="Times New Roman" w:hAnsi="Times New Roman" w:eastAsia="宋体" w:cs="Times New Roman"/>
          <w:sz w:val="24"/>
          <w:szCs w:val="24"/>
        </w:rPr>
      </w:pPr>
      <w:r>
        <w:rPr>
          <w:rFonts w:hint="eastAsia" w:ascii="宋体" w:hAnsi="宋体" w:eastAsia="宋体" w:cs="Times New Roman"/>
          <w:sz w:val="24"/>
          <w:szCs w:val="24"/>
        </w:rPr>
        <w:t>2.2</w:t>
      </w:r>
      <w:r>
        <w:rPr>
          <w:rFonts w:hint="eastAsia" w:ascii="Times New Roman" w:hAnsi="Times New Roman" w:eastAsia="宋体" w:cs="Times New Roman"/>
          <w:sz w:val="24"/>
          <w:szCs w:val="24"/>
          <w:highlight w:val="yellow"/>
        </w:rPr>
        <w:t>所提供的产品必须满足项目所在地供电部门要求、设计图纸及技术文件中的各项要求</w:t>
      </w:r>
      <w:r>
        <w:rPr>
          <w:rFonts w:hint="eastAsia" w:ascii="宋体" w:hAnsi="宋体" w:eastAsia="宋体" w:cs="Times New Roman"/>
          <w:sz w:val="24"/>
          <w:szCs w:val="24"/>
          <w:highlight w:val="yellow"/>
        </w:rPr>
        <w:t>。</w:t>
      </w:r>
    </w:p>
    <w:p>
      <w:pPr>
        <w:autoSpaceDE w:val="0"/>
        <w:autoSpaceDN w:val="0"/>
        <w:adjustRightInd w:val="0"/>
        <w:ind w:left="992" w:leftChars="301" w:hanging="360" w:hangingChars="150"/>
        <w:rPr>
          <w:rFonts w:ascii="宋体" w:hAnsi="Times New Roman" w:eastAsia="宋体" w:cs="宋体"/>
          <w:color w:val="FF0000"/>
          <w:kern w:val="0"/>
          <w:sz w:val="24"/>
          <w:szCs w:val="24"/>
        </w:rPr>
      </w:pPr>
      <w:r>
        <w:rPr>
          <w:rFonts w:hint="eastAsia" w:ascii="宋体" w:hAnsi="Times New Roman" w:eastAsia="宋体" w:cs="宋体"/>
          <w:color w:val="000000"/>
          <w:kern w:val="0"/>
          <w:sz w:val="24"/>
          <w:szCs w:val="24"/>
        </w:rPr>
        <w:t>2.3要求变压器单元采用负荷柜。</w:t>
      </w:r>
      <w:r>
        <w:rPr>
          <w:rFonts w:hint="eastAsia" w:ascii="宋体" w:hAnsi="宋体" w:eastAsia="宋体" w:cs="宋体"/>
          <w:color w:val="000000"/>
          <w:kern w:val="0"/>
          <w:sz w:val="24"/>
          <w:szCs w:val="24"/>
        </w:rPr>
        <w:t>进线柜及出线柜需安装避雷器。产品其它相关要求须符合审图意见书。</w:t>
      </w:r>
      <w:r>
        <w:rPr>
          <w:rFonts w:hint="eastAsia" w:ascii="宋体" w:hAnsi="Times New Roman" w:eastAsia="宋体" w:cs="宋体"/>
          <w:color w:val="000000"/>
          <w:kern w:val="0"/>
          <w:sz w:val="24"/>
          <w:szCs w:val="24"/>
        </w:rPr>
        <w:t>供货产品柜体、负荷开关和综合继电保护装置必须是采用品牌</w:t>
      </w:r>
      <w:r>
        <w:rPr>
          <w:rFonts w:ascii="宋体" w:hAnsi="Times New Roman" w:eastAsia="宋体" w:cs="宋体"/>
          <w:color w:val="000000"/>
          <w:kern w:val="0"/>
          <w:sz w:val="24"/>
          <w:szCs w:val="24"/>
        </w:rPr>
        <w:t>表</w:t>
      </w:r>
      <w:r>
        <w:rPr>
          <w:rFonts w:hint="eastAsia" w:ascii="宋体" w:hAnsi="Times New Roman" w:eastAsia="宋体" w:cs="宋体"/>
          <w:color w:val="000000"/>
          <w:kern w:val="0"/>
          <w:sz w:val="24"/>
          <w:szCs w:val="24"/>
        </w:rPr>
        <w:t>的产品。</w:t>
      </w:r>
    </w:p>
    <w:p>
      <w:pPr>
        <w:spacing w:line="360" w:lineRule="auto"/>
        <w:ind w:left="840"/>
        <w:rPr>
          <w:rFonts w:ascii="Times New Roman" w:hAnsi="Times New Roman" w:eastAsia="宋体" w:cs="Times New Roman"/>
          <w:sz w:val="24"/>
          <w:szCs w:val="24"/>
          <w:highlight w:val="yellow"/>
        </w:rPr>
      </w:pPr>
      <w:r>
        <w:rPr>
          <w:rFonts w:hint="eastAsia" w:ascii="宋体" w:hAnsi="宋体" w:eastAsia="宋体" w:cs="Times New Roman"/>
          <w:sz w:val="24"/>
          <w:szCs w:val="24"/>
          <w:highlight w:val="yellow"/>
        </w:rPr>
        <w:t>2.4</w:t>
      </w:r>
      <w:r>
        <w:rPr>
          <w:rFonts w:hint="eastAsia" w:ascii="Times New Roman" w:hAnsi="Times New Roman" w:eastAsia="宋体" w:cs="Times New Roman"/>
          <w:sz w:val="24"/>
          <w:szCs w:val="24"/>
          <w:highlight w:val="yellow"/>
        </w:rPr>
        <w:t>开关柜应具“五防”功能：</w:t>
      </w:r>
    </w:p>
    <w:p>
      <w:pPr>
        <w:spacing w:line="360" w:lineRule="auto"/>
        <w:ind w:left="1200"/>
        <w:rPr>
          <w:rFonts w:ascii="Times New Roman" w:hAnsi="Times New Roman" w:eastAsia="宋体" w:cs="Times New Roman"/>
          <w:sz w:val="24"/>
          <w:szCs w:val="24"/>
          <w:highlight w:val="yellow"/>
        </w:rPr>
      </w:pPr>
      <w:r>
        <w:rPr>
          <w:rFonts w:hint="eastAsia" w:ascii="Times New Roman" w:hAnsi="Times New Roman" w:eastAsia="宋体" w:cs="Times New Roman"/>
          <w:sz w:val="24"/>
          <w:szCs w:val="24"/>
          <w:highlight w:val="yellow"/>
        </w:rPr>
        <w:t>防止带负荷推拉断路器手车</w:t>
      </w:r>
    </w:p>
    <w:p>
      <w:pPr>
        <w:spacing w:line="360" w:lineRule="auto"/>
        <w:ind w:left="1200"/>
        <w:rPr>
          <w:rFonts w:ascii="Times New Roman" w:hAnsi="Times New Roman" w:eastAsia="宋体" w:cs="Times New Roman"/>
          <w:sz w:val="24"/>
          <w:szCs w:val="24"/>
          <w:highlight w:val="yellow"/>
        </w:rPr>
      </w:pPr>
      <w:r>
        <w:rPr>
          <w:rFonts w:hint="eastAsia" w:ascii="Times New Roman" w:hAnsi="Times New Roman" w:eastAsia="宋体" w:cs="Times New Roman"/>
          <w:sz w:val="24"/>
          <w:szCs w:val="24"/>
          <w:highlight w:val="yellow"/>
        </w:rPr>
        <w:t>防止误分合断路器</w:t>
      </w:r>
    </w:p>
    <w:p>
      <w:pPr>
        <w:spacing w:line="360" w:lineRule="auto"/>
        <w:ind w:left="1200"/>
        <w:rPr>
          <w:rFonts w:ascii="Times New Roman" w:hAnsi="Times New Roman" w:eastAsia="宋体" w:cs="Times New Roman"/>
          <w:sz w:val="24"/>
          <w:szCs w:val="24"/>
          <w:highlight w:val="yellow"/>
        </w:rPr>
      </w:pPr>
      <w:r>
        <w:rPr>
          <w:rFonts w:hint="eastAsia" w:ascii="Times New Roman" w:hAnsi="Times New Roman" w:eastAsia="宋体" w:cs="Times New Roman"/>
          <w:sz w:val="24"/>
          <w:szCs w:val="24"/>
          <w:highlight w:val="yellow"/>
        </w:rPr>
        <w:t>防止接地开关在闭合位置位置时关合断路器</w:t>
      </w:r>
    </w:p>
    <w:p>
      <w:pPr>
        <w:spacing w:line="360" w:lineRule="auto"/>
        <w:ind w:left="1200"/>
        <w:rPr>
          <w:rFonts w:ascii="Times New Roman" w:hAnsi="Times New Roman" w:eastAsia="宋体" w:cs="Times New Roman"/>
          <w:sz w:val="24"/>
          <w:szCs w:val="24"/>
          <w:highlight w:val="yellow"/>
        </w:rPr>
      </w:pPr>
      <w:r>
        <w:rPr>
          <w:rFonts w:hint="eastAsia" w:ascii="Times New Roman" w:hAnsi="Times New Roman" w:eastAsia="宋体" w:cs="Times New Roman"/>
          <w:sz w:val="24"/>
          <w:szCs w:val="24"/>
          <w:highlight w:val="yellow"/>
        </w:rPr>
        <w:t>防止误入带电间隔室</w:t>
      </w:r>
    </w:p>
    <w:p>
      <w:pPr>
        <w:spacing w:line="360" w:lineRule="auto"/>
        <w:ind w:left="1200"/>
        <w:rPr>
          <w:rFonts w:ascii="Times New Roman" w:hAnsi="Times New Roman" w:eastAsia="宋体" w:cs="Times New Roman"/>
          <w:sz w:val="24"/>
          <w:szCs w:val="24"/>
        </w:rPr>
      </w:pPr>
      <w:r>
        <w:rPr>
          <w:rFonts w:hint="eastAsia" w:ascii="Times New Roman" w:hAnsi="Times New Roman" w:eastAsia="宋体" w:cs="Times New Roman"/>
          <w:sz w:val="24"/>
          <w:szCs w:val="24"/>
          <w:highlight w:val="yellow"/>
        </w:rPr>
        <w:t>防止在带电时误合接地开关</w:t>
      </w:r>
    </w:p>
    <w:p>
      <w:pPr>
        <w:spacing w:line="360" w:lineRule="auto"/>
        <w:ind w:left="840"/>
        <w:rPr>
          <w:rFonts w:ascii="Times New Roman" w:hAnsi="Times New Roman" w:eastAsia="宋体" w:cs="Times New Roman"/>
          <w:sz w:val="24"/>
          <w:szCs w:val="24"/>
        </w:rPr>
      </w:pPr>
      <w:r>
        <w:rPr>
          <w:rFonts w:hint="eastAsia" w:ascii="宋体" w:hAnsi="宋体" w:eastAsia="宋体" w:cs="Times New Roman"/>
          <w:sz w:val="24"/>
          <w:szCs w:val="24"/>
        </w:rPr>
        <w:t>2.5</w:t>
      </w:r>
      <w:r>
        <w:rPr>
          <w:rFonts w:hint="eastAsia" w:ascii="Times New Roman" w:hAnsi="Times New Roman" w:eastAsia="宋体" w:cs="Times New Roman"/>
          <w:sz w:val="24"/>
          <w:szCs w:val="24"/>
        </w:rPr>
        <w:t>开关柜应具有安全运行所必须的联锁机构。</w:t>
      </w:r>
    </w:p>
    <w:p>
      <w:pPr>
        <w:spacing w:line="360" w:lineRule="auto"/>
        <w:ind w:left="840"/>
        <w:rPr>
          <w:rFonts w:ascii="Times New Roman" w:hAnsi="Times New Roman" w:eastAsia="宋体" w:cs="Times New Roman"/>
          <w:sz w:val="24"/>
          <w:szCs w:val="24"/>
        </w:rPr>
      </w:pPr>
      <w:r>
        <w:rPr>
          <w:rFonts w:hint="eastAsia" w:ascii="宋体" w:hAnsi="宋体" w:eastAsia="宋体" w:cs="Times New Roman"/>
          <w:sz w:val="24"/>
          <w:szCs w:val="24"/>
        </w:rPr>
        <w:t>2.6</w:t>
      </w:r>
      <w:r>
        <w:rPr>
          <w:rFonts w:hint="eastAsia" w:ascii="Times New Roman" w:hAnsi="Times New Roman" w:eastAsia="宋体" w:cs="Times New Roman"/>
          <w:sz w:val="24"/>
          <w:szCs w:val="24"/>
        </w:rPr>
        <w:t>开关柜应为进出线留有充足的空间。</w:t>
      </w:r>
    </w:p>
    <w:p>
      <w:pPr>
        <w:spacing w:line="400" w:lineRule="atLeast"/>
        <w:ind w:left="992" w:leftChars="301" w:hanging="360" w:hangingChars="150"/>
        <w:rPr>
          <w:rFonts w:ascii="宋体" w:hAnsi="宋体" w:eastAsia="宋体" w:cs="Times New Roman"/>
          <w:sz w:val="24"/>
          <w:szCs w:val="24"/>
        </w:rPr>
      </w:pPr>
      <w:r>
        <w:rPr>
          <w:rFonts w:hint="eastAsia" w:ascii="宋体" w:hAnsi="宋体" w:eastAsia="宋体" w:cs="Times New Roman"/>
          <w:sz w:val="24"/>
          <w:szCs w:val="24"/>
        </w:rPr>
        <w:t>2.7</w:t>
      </w:r>
      <w:r>
        <w:rPr>
          <w:rFonts w:hint="eastAsia" w:ascii="宋体" w:hAnsi="宋体" w:eastAsia="宋体" w:cs="Arial"/>
          <w:sz w:val="24"/>
          <w:szCs w:val="23"/>
        </w:rPr>
        <w:t>施工单位所供的高压真空开关柜品牌详见工程量</w:t>
      </w:r>
      <w:r>
        <w:rPr>
          <w:rFonts w:ascii="宋体" w:hAnsi="宋体" w:eastAsia="宋体" w:cs="Arial"/>
          <w:sz w:val="24"/>
          <w:szCs w:val="23"/>
        </w:rPr>
        <w:t>清单</w:t>
      </w:r>
      <w:r>
        <w:rPr>
          <w:rFonts w:hint="eastAsia" w:ascii="宋体" w:hAnsi="宋体" w:eastAsia="宋体" w:cs="Arial"/>
          <w:sz w:val="24"/>
          <w:szCs w:val="23"/>
        </w:rPr>
        <w:t>，开关柜选用的断路器、负荷开关、接地开关、继电保护等主要部件应</w:t>
      </w:r>
      <w:r>
        <w:rPr>
          <w:rFonts w:hint="eastAsia" w:ascii="宋体" w:hAnsi="宋体" w:eastAsia="宋体" w:cs="Arial"/>
          <w:sz w:val="24"/>
          <w:szCs w:val="23"/>
          <w:lang w:val="en-US" w:eastAsia="zh-CN"/>
        </w:rPr>
        <w:t>与合同品牌一致</w:t>
      </w:r>
      <w:r>
        <w:rPr>
          <w:rFonts w:hint="eastAsia" w:ascii="宋体" w:hAnsi="宋体" w:eastAsia="宋体" w:cs="Times New Roman"/>
          <w:sz w:val="24"/>
          <w:szCs w:val="24"/>
        </w:rPr>
        <w:t>。</w:t>
      </w:r>
    </w:p>
    <w:p>
      <w:pPr>
        <w:spacing w:line="360" w:lineRule="auto"/>
        <w:ind w:left="990" w:leftChars="300" w:hanging="360" w:hangingChars="150"/>
        <w:rPr>
          <w:rFonts w:ascii="宋体" w:hAnsi="宋体" w:eastAsia="宋体" w:cs="Times New Roman"/>
          <w:sz w:val="24"/>
          <w:szCs w:val="24"/>
        </w:rPr>
      </w:pPr>
      <w:r>
        <w:rPr>
          <w:rFonts w:hint="eastAsia" w:ascii="宋体" w:hAnsi="宋体" w:eastAsia="宋体" w:cs="Times New Roman"/>
          <w:sz w:val="24"/>
          <w:szCs w:val="24"/>
        </w:rPr>
        <w:t>2.8</w:t>
      </w:r>
      <w:r>
        <w:rPr>
          <w:rFonts w:hint="eastAsia" w:ascii="宋体" w:hAnsi="宋体" w:eastAsia="宋体" w:cs="Arial"/>
          <w:sz w:val="24"/>
          <w:szCs w:val="23"/>
          <w:highlight w:val="yellow"/>
        </w:rPr>
        <w:t>要求开关柜均为真空全封闭全绝缘型，甲方不接受任何OEM、授权厂、贴牌厂或联合制造等生产形式的产品，并坚决杜绝仿冒造假产品。</w:t>
      </w:r>
      <w:r>
        <w:rPr>
          <w:rFonts w:hint="eastAsia" w:ascii="宋体" w:hAnsi="宋体" w:eastAsia="宋体" w:cs="Times New Roman"/>
          <w:sz w:val="24"/>
          <w:szCs w:val="24"/>
          <w:highlight w:val="yellow"/>
        </w:rPr>
        <w:t>如发现假冒或不符合要求产品，一律无条件退场,并追究法律责任及处以十倍以上经济赔偿</w:t>
      </w:r>
      <w:r>
        <w:rPr>
          <w:rFonts w:hint="eastAsia" w:ascii="宋体" w:hAnsi="宋体" w:eastAsia="宋体" w:cs="Times New Roman"/>
          <w:sz w:val="24"/>
          <w:szCs w:val="24"/>
        </w:rPr>
        <w:t>。</w:t>
      </w:r>
    </w:p>
    <w:p>
      <w:pPr>
        <w:ind w:left="1112" w:leftChars="301" w:hanging="480" w:hangingChars="200"/>
        <w:rPr>
          <w:rFonts w:ascii="宋体" w:hAnsi="宋体" w:eastAsia="宋体" w:cs="Times New Roman"/>
          <w:sz w:val="24"/>
          <w:szCs w:val="24"/>
        </w:rPr>
      </w:pPr>
    </w:p>
    <w:p>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   3、变压器</w:t>
      </w:r>
      <w:r>
        <w:rPr>
          <w:rFonts w:hint="eastAsia" w:ascii="Times New Roman" w:hAnsi="Times New Roman" w:eastAsia="宋体" w:cs="Times New Roman"/>
          <w:sz w:val="24"/>
          <w:szCs w:val="24"/>
        </w:rPr>
        <w:t>技术要求</w:t>
      </w:r>
    </w:p>
    <w:p>
      <w:pPr>
        <w:spacing w:line="360" w:lineRule="auto"/>
        <w:ind w:left="1021" w:leftChars="258" w:hanging="480" w:hangingChars="200"/>
        <w:rPr>
          <w:rFonts w:ascii="宋体" w:hAnsi="宋体" w:eastAsia="宋体" w:cs="Times New Roman"/>
          <w:sz w:val="24"/>
          <w:szCs w:val="24"/>
        </w:rPr>
      </w:pPr>
      <w:r>
        <w:rPr>
          <w:rFonts w:hint="eastAsia" w:ascii="宋体" w:hAnsi="宋体" w:eastAsia="宋体" w:cs="Times New Roman"/>
          <w:sz w:val="24"/>
          <w:szCs w:val="24"/>
        </w:rPr>
        <w:t>3.1、</w:t>
      </w:r>
      <w:r>
        <w:rPr>
          <w:rFonts w:hint="eastAsia" w:ascii="Times New Roman" w:hAnsi="Times New Roman" w:eastAsia="宋体" w:cs="Times New Roman"/>
          <w:sz w:val="24"/>
          <w:szCs w:val="24"/>
          <w:highlight w:val="yellow"/>
        </w:rPr>
        <w:t>SCB1</w:t>
      </w:r>
      <w:r>
        <w:rPr>
          <w:rFonts w:ascii="Times New Roman" w:hAnsi="Times New Roman" w:eastAsia="宋体" w:cs="Times New Roman"/>
          <w:sz w:val="24"/>
          <w:szCs w:val="24"/>
          <w:highlight w:val="yellow"/>
        </w:rPr>
        <w:t>3</w:t>
      </w:r>
      <w:r>
        <w:rPr>
          <w:rFonts w:hint="eastAsia" w:ascii="Times New Roman" w:hAnsi="Times New Roman" w:eastAsia="宋体" w:cs="Times New Roman"/>
          <w:sz w:val="24"/>
          <w:szCs w:val="24"/>
          <w:highlight w:val="yellow"/>
        </w:rPr>
        <w:t>环氧树脂真空浇注干式变压器</w:t>
      </w:r>
      <w:r>
        <w:rPr>
          <w:rFonts w:hint="eastAsia" w:ascii="Times New Roman" w:hAnsi="Times New Roman" w:eastAsia="宋体" w:cs="Times New Roman"/>
          <w:sz w:val="24"/>
          <w:szCs w:val="24"/>
        </w:rPr>
        <w:t>，要求：</w:t>
      </w:r>
      <w:r>
        <w:rPr>
          <w:rFonts w:hint="eastAsia" w:ascii="宋体" w:hAnsi="宋体" w:eastAsia="宋体" w:cs="Times New Roman"/>
          <w:sz w:val="24"/>
          <w:szCs w:val="24"/>
        </w:rPr>
        <w:t>铁芯使用优质低损耗的冷轧硅钢片制成,绕组均为铜导体,材料结构合理，材质优良、损耗低、效率高、局部放电小、噪声小，绝缘等级高，具备良好的阻燃性能和抗雷电冲击能力。施工单位应在技术文件中详细描述所投变压器的相数、频率、额定电压、高压分接范围、联接组别、材料、空载损耗、负载损耗(75℃)、局部放电量、噪声、绝缘等级、冷却方式、抗雷电冲击水平、低压出线方式及低压侧接地系统等技术数据，所提供的产品应与说明书和实验报告一致。</w:t>
      </w:r>
    </w:p>
    <w:p>
      <w:pPr>
        <w:spacing w:line="360" w:lineRule="auto"/>
        <w:ind w:left="1021" w:leftChars="258" w:hanging="480" w:hangingChars="200"/>
        <w:rPr>
          <w:rFonts w:ascii="宋体" w:hAnsi="宋体" w:eastAsia="宋体" w:cs="Times New Roman"/>
          <w:sz w:val="24"/>
          <w:szCs w:val="24"/>
        </w:rPr>
      </w:pPr>
      <w:r>
        <w:rPr>
          <w:rFonts w:hint="eastAsia" w:ascii="宋体" w:hAnsi="宋体" w:eastAsia="宋体" w:cs="Times New Roman"/>
          <w:sz w:val="24"/>
          <w:szCs w:val="24"/>
        </w:rPr>
        <w:t>3.2、噪音水平</w:t>
      </w:r>
      <w:r>
        <w:rPr>
          <w:rFonts w:ascii="宋体" w:hAnsi="宋体" w:eastAsia="宋体" w:cs="Times New Roman"/>
          <w:sz w:val="24"/>
          <w:szCs w:val="24"/>
        </w:rPr>
        <w:t>:</w:t>
      </w:r>
      <w:r>
        <w:rPr>
          <w:rFonts w:hint="eastAsia" w:ascii="宋体" w:hAnsi="宋体" w:eastAsia="宋体" w:cs="Times New Roman"/>
          <w:sz w:val="24"/>
          <w:szCs w:val="24"/>
        </w:rPr>
        <w:t>根据国家标准</w:t>
      </w:r>
      <w:r>
        <w:rPr>
          <w:rFonts w:ascii="宋体" w:hAnsi="宋体" w:eastAsia="宋体" w:cs="Times New Roman"/>
          <w:sz w:val="24"/>
          <w:szCs w:val="24"/>
        </w:rPr>
        <w:t>GB7828</w:t>
      </w:r>
      <w:r>
        <w:rPr>
          <w:rFonts w:hint="eastAsia" w:ascii="宋体" w:hAnsi="宋体" w:eastAsia="宋体" w:cs="Times New Roman"/>
          <w:sz w:val="24"/>
          <w:szCs w:val="24"/>
        </w:rPr>
        <w:t>和</w:t>
      </w:r>
      <w:r>
        <w:rPr>
          <w:rFonts w:ascii="宋体" w:hAnsi="宋体" w:eastAsia="宋体" w:cs="Times New Roman"/>
          <w:sz w:val="24"/>
          <w:szCs w:val="24"/>
        </w:rPr>
        <w:t>IEC551,</w:t>
      </w:r>
      <w:r>
        <w:rPr>
          <w:rFonts w:hint="eastAsia" w:ascii="宋体" w:hAnsi="宋体" w:eastAsia="宋体" w:cs="Times New Roman"/>
          <w:sz w:val="24"/>
          <w:szCs w:val="24"/>
        </w:rPr>
        <w:t>变压器本体声压级测定</w:t>
      </w:r>
      <w:r>
        <w:rPr>
          <w:rFonts w:ascii="宋体" w:hAnsi="宋体" w:eastAsia="宋体" w:cs="Times New Roman"/>
          <w:sz w:val="24"/>
          <w:szCs w:val="24"/>
        </w:rPr>
        <w:t>≤5</w:t>
      </w:r>
      <w:r>
        <w:rPr>
          <w:rFonts w:hint="eastAsia" w:ascii="宋体" w:hAnsi="宋体" w:eastAsia="宋体" w:cs="Times New Roman"/>
          <w:sz w:val="24"/>
          <w:szCs w:val="24"/>
        </w:rPr>
        <w:t>4分贝。</w:t>
      </w:r>
    </w:p>
    <w:p>
      <w:pPr>
        <w:spacing w:line="360" w:lineRule="auto"/>
        <w:ind w:left="1021" w:leftChars="258" w:hanging="480" w:hangingChars="200"/>
        <w:rPr>
          <w:rFonts w:ascii="宋体" w:hAnsi="宋体" w:eastAsia="宋体" w:cs="Times New Roman"/>
          <w:sz w:val="24"/>
          <w:szCs w:val="24"/>
        </w:rPr>
      </w:pPr>
      <w:r>
        <w:rPr>
          <w:rFonts w:hint="eastAsia" w:ascii="宋体" w:hAnsi="宋体" w:eastAsia="宋体" w:cs="Times New Roman"/>
          <w:sz w:val="24"/>
          <w:szCs w:val="24"/>
        </w:rPr>
        <w:t>3.3、为确保产品的安全可靠性,供应商的产品(干式变压器)必须配置原厂的铝合金外壳、风冷系统、温控温显装置。</w:t>
      </w:r>
    </w:p>
    <w:p>
      <w:pPr>
        <w:spacing w:line="360" w:lineRule="auto"/>
        <w:ind w:left="1141" w:leftChars="258" w:hanging="600" w:hangingChars="250"/>
        <w:rPr>
          <w:rFonts w:ascii="宋体" w:hAnsi="宋体" w:eastAsia="宋体" w:cs="Times New Roman"/>
          <w:sz w:val="24"/>
          <w:szCs w:val="24"/>
        </w:rPr>
      </w:pPr>
      <w:r>
        <w:rPr>
          <w:rFonts w:hint="eastAsia" w:ascii="宋体" w:hAnsi="宋体" w:eastAsia="宋体" w:cs="Times New Roman"/>
          <w:sz w:val="24"/>
          <w:szCs w:val="24"/>
        </w:rPr>
        <w:t>3.4、变压器品牌：</w:t>
      </w:r>
      <w:r>
        <w:rPr>
          <w:rFonts w:hint="eastAsia" w:ascii="Times New Roman" w:hAnsi="Times New Roman" w:eastAsia="宋体" w:cs="Times New Roman"/>
          <w:sz w:val="24"/>
          <w:szCs w:val="24"/>
        </w:rPr>
        <w:t>详见工程量</w:t>
      </w:r>
      <w:r>
        <w:rPr>
          <w:rFonts w:ascii="Times New Roman" w:hAnsi="Times New Roman" w:eastAsia="宋体" w:cs="Times New Roman"/>
          <w:sz w:val="24"/>
          <w:szCs w:val="24"/>
        </w:rPr>
        <w:t>清单</w:t>
      </w:r>
      <w:r>
        <w:rPr>
          <w:rFonts w:hint="eastAsia" w:ascii="Times New Roman" w:hAnsi="Times New Roman" w:eastAsia="宋体" w:cs="Times New Roman"/>
          <w:sz w:val="24"/>
          <w:szCs w:val="24"/>
        </w:rPr>
        <w:t>。</w:t>
      </w:r>
    </w:p>
    <w:p>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   4、低压开关柜</w:t>
      </w:r>
    </w:p>
    <w:p>
      <w:pPr>
        <w:spacing w:line="360" w:lineRule="auto"/>
        <w:ind w:firstLine="600" w:firstLineChars="250"/>
        <w:rPr>
          <w:rFonts w:ascii="宋体" w:hAnsi="宋体" w:eastAsia="宋体" w:cs="Times New Roman"/>
          <w:sz w:val="24"/>
          <w:szCs w:val="24"/>
        </w:rPr>
      </w:pPr>
      <w:r>
        <w:rPr>
          <w:rFonts w:hint="eastAsia" w:ascii="宋体" w:hAnsi="宋体" w:eastAsia="宋体" w:cs="Times New Roman"/>
          <w:sz w:val="24"/>
          <w:szCs w:val="24"/>
        </w:rPr>
        <w:t>4.1、柜体</w:t>
      </w:r>
    </w:p>
    <w:p>
      <w:pPr>
        <w:spacing w:line="360" w:lineRule="auto"/>
        <w:ind w:left="1200" w:hanging="1200" w:hangingChars="500"/>
        <w:rPr>
          <w:rFonts w:ascii="Times New Roman" w:hAnsi="Times New Roman" w:eastAsia="宋体" w:cs="Times New Roman"/>
          <w:sz w:val="24"/>
          <w:szCs w:val="24"/>
        </w:rPr>
      </w:pPr>
      <w:r>
        <w:rPr>
          <w:rFonts w:hint="eastAsia" w:ascii="宋体" w:hAnsi="宋体" w:eastAsia="宋体" w:cs="Times New Roman"/>
          <w:sz w:val="24"/>
          <w:szCs w:val="24"/>
        </w:rPr>
        <w:t xml:space="preserve">      4.1.1</w:t>
      </w:r>
      <w:r>
        <w:rPr>
          <w:rFonts w:ascii="Times New Roman" w:hAnsi="Times New Roman" w:eastAsia="宋体" w:cs="Times New Roman"/>
          <w:sz w:val="24"/>
          <w:szCs w:val="24"/>
        </w:rPr>
        <w:t>组合式低压开关柜选用</w:t>
      </w:r>
      <w:r>
        <w:rPr>
          <w:rFonts w:hint="eastAsia" w:ascii="Times New Roman" w:hAnsi="Times New Roman" w:eastAsia="宋体" w:cs="Times New Roman"/>
          <w:sz w:val="24"/>
          <w:szCs w:val="24"/>
        </w:rPr>
        <w:t>G</w:t>
      </w:r>
      <w:r>
        <w:rPr>
          <w:rFonts w:hint="eastAsia" w:ascii="Times New Roman" w:hAnsi="Times New Roman" w:eastAsia="宋体" w:cs="Times New Roman"/>
          <w:sz w:val="24"/>
          <w:szCs w:val="24"/>
          <w:lang w:val="en-US" w:eastAsia="zh-CN"/>
        </w:rPr>
        <w:t>CK</w:t>
      </w:r>
      <w:r>
        <w:rPr>
          <w:rFonts w:ascii="Times New Roman" w:hAnsi="Times New Roman" w:eastAsia="宋体" w:cs="Times New Roman"/>
          <w:sz w:val="24"/>
          <w:szCs w:val="24"/>
        </w:rPr>
        <w:t xml:space="preserve">型 </w:t>
      </w:r>
      <w:r>
        <w:rPr>
          <w:rFonts w:hint="eastAsia" w:ascii="Times New Roman" w:hAnsi="Times New Roman" w:eastAsia="宋体" w:cs="Times New Roman"/>
          <w:sz w:val="24"/>
          <w:szCs w:val="24"/>
        </w:rPr>
        <w:t>，</w:t>
      </w:r>
      <w:r>
        <w:rPr>
          <w:rFonts w:ascii="Times New Roman" w:hAnsi="Times New Roman" w:eastAsia="宋体" w:cs="Times New Roman"/>
          <w:sz w:val="24"/>
          <w:szCs w:val="24"/>
        </w:rPr>
        <w:t>要求厂家具有</w:t>
      </w:r>
      <w:r>
        <w:rPr>
          <w:rFonts w:hint="eastAsia" w:ascii="Times New Roman" w:hAnsi="Times New Roman" w:eastAsia="宋体" w:cs="Times New Roman"/>
          <w:sz w:val="24"/>
          <w:szCs w:val="24"/>
        </w:rPr>
        <w:t>3</w:t>
      </w:r>
      <w:r>
        <w:rPr>
          <w:rFonts w:ascii="Times New Roman" w:hAnsi="Times New Roman" w:eastAsia="宋体" w:cs="Times New Roman"/>
          <w:sz w:val="24"/>
          <w:szCs w:val="24"/>
        </w:rPr>
        <w:t>C认证，其技术性能须达到中华人民共和国有关标准。</w:t>
      </w:r>
    </w:p>
    <w:p>
      <w:pPr>
        <w:spacing w:line="360" w:lineRule="auto"/>
        <w:ind w:left="1320" w:hanging="1320" w:hangingChars="550"/>
        <w:rPr>
          <w:rFonts w:ascii="Times New Roman" w:hAnsi="Times New Roman" w:eastAsia="宋体" w:cs="Times New Roman"/>
          <w:sz w:val="24"/>
          <w:szCs w:val="24"/>
        </w:rPr>
      </w:pPr>
      <w:r>
        <w:rPr>
          <w:rFonts w:hint="eastAsia" w:ascii="宋体" w:hAnsi="宋体" w:eastAsia="宋体" w:cs="Times New Roman"/>
          <w:sz w:val="24"/>
          <w:szCs w:val="24"/>
        </w:rPr>
        <w:t xml:space="preserve">      4.1.2</w:t>
      </w:r>
      <w:r>
        <w:rPr>
          <w:rFonts w:ascii="Times New Roman" w:hAnsi="Times New Roman" w:eastAsia="宋体" w:cs="Times New Roman"/>
          <w:sz w:val="24"/>
          <w:szCs w:val="24"/>
        </w:rPr>
        <w:t>开关柜要求三室隔离，分为：母线室、电缆室、功能单元室。配电柜内要设有独立的PE接地系统与N性导体，二者贯穿于整个装置，安装在柜前底部及柜右侧，各回路接地或接零均可就近连接。框架结构件的连接能确保接地的可靠性。N线与PE线之间用绝缘间隔N线、PE线分别使用，进出线的接线方便。</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3</w:t>
      </w:r>
      <w:r>
        <w:rPr>
          <w:rFonts w:hint="eastAsia" w:ascii="宋体" w:hAnsi="宋体" w:eastAsia="宋体" w:cs="Times New Roman"/>
          <w:sz w:val="24"/>
          <w:szCs w:val="24"/>
        </w:rPr>
        <w:t>箱体外壳的材料以≥</w:t>
      </w:r>
      <w:r>
        <w:rPr>
          <w:rFonts w:ascii="宋体" w:hAnsi="宋体" w:eastAsia="宋体" w:cs="Times New Roman"/>
          <w:sz w:val="24"/>
          <w:szCs w:val="24"/>
        </w:rPr>
        <w:t>2mm</w:t>
      </w:r>
      <w:r>
        <w:rPr>
          <w:rFonts w:hint="eastAsia" w:ascii="宋体" w:hAnsi="宋体" w:eastAsia="宋体" w:cs="Times New Roman"/>
          <w:sz w:val="24"/>
          <w:szCs w:val="24"/>
        </w:rPr>
        <w:t>的</w:t>
      </w:r>
      <w:r>
        <w:rPr>
          <w:rFonts w:ascii="宋体" w:hAnsi="宋体" w:eastAsia="宋体" w:cs="Times New Roman"/>
          <w:sz w:val="24"/>
          <w:szCs w:val="24"/>
        </w:rPr>
        <w:t>304</w:t>
      </w:r>
      <w:r>
        <w:rPr>
          <w:rFonts w:hint="eastAsia" w:ascii="宋体" w:hAnsi="宋体" w:eastAsia="宋体" w:cs="Times New Roman"/>
          <w:sz w:val="24"/>
          <w:szCs w:val="24"/>
        </w:rPr>
        <w:t>不锈钢，</w:t>
      </w:r>
      <w:r>
        <w:rPr>
          <w:rFonts w:ascii="Times New Roman" w:hAnsi="Times New Roman" w:eastAsia="宋体" w:cs="Times New Roman"/>
          <w:sz w:val="24"/>
          <w:szCs w:val="24"/>
        </w:rPr>
        <w:t>柜体的立柱及隔板要求采用</w:t>
      </w:r>
      <w:r>
        <w:rPr>
          <w:rFonts w:hint="eastAsia" w:ascii="Times New Roman" w:hAnsi="Times New Roman" w:eastAsia="宋体" w:cs="Times New Roman"/>
          <w:sz w:val="24"/>
          <w:szCs w:val="24"/>
        </w:rPr>
        <w:t>进口</w:t>
      </w:r>
      <w:r>
        <w:rPr>
          <w:rFonts w:ascii="Times New Roman" w:hAnsi="Times New Roman" w:eastAsia="宋体" w:cs="Times New Roman"/>
          <w:sz w:val="24"/>
          <w:szCs w:val="24"/>
        </w:rPr>
        <w:t>敷铝锌板，能方便连柜及以后扩容，静电喷塑涂层，均匀、敷着力强，表面光泽整洁,根据机械强度采用板材。</w:t>
      </w:r>
      <w:r>
        <w:rPr>
          <w:rFonts w:hint="eastAsia" w:ascii="Times New Roman" w:hAnsi="Times New Roman" w:eastAsia="宋体" w:cs="Times New Roman"/>
          <w:sz w:val="24"/>
          <w:szCs w:val="24"/>
        </w:rPr>
        <w:t>柜体板材厚度按照行业标准</w:t>
      </w:r>
      <w:r>
        <w:rPr>
          <w:rFonts w:hint="eastAsia" w:ascii="宋体" w:hAnsi="宋体" w:eastAsia="宋体" w:cs="Times New Roman"/>
          <w:sz w:val="24"/>
          <w:szCs w:val="24"/>
        </w:rPr>
        <w:t>GB7251.1</w:t>
      </w:r>
      <w:r>
        <w:rPr>
          <w:rFonts w:hint="eastAsia" w:ascii="Times New Roman" w:hAnsi="Times New Roman" w:eastAsia="宋体" w:cs="Times New Roman"/>
          <w:sz w:val="24"/>
          <w:szCs w:val="24"/>
        </w:rPr>
        <w:t>执行,板厚不小于2.0mm。</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4</w:t>
      </w:r>
      <w:r>
        <w:rPr>
          <w:rFonts w:ascii="Times New Roman" w:hAnsi="Times New Roman" w:eastAsia="宋体" w:cs="Times New Roman"/>
          <w:sz w:val="24"/>
          <w:szCs w:val="24"/>
        </w:rPr>
        <w:t>柜内元件正常工作产生电火花、振动不影响其它元件的性能，柜内应有卸压装置。</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5</w:t>
      </w:r>
      <w:r>
        <w:rPr>
          <w:rFonts w:ascii="Times New Roman" w:hAnsi="Times New Roman" w:eastAsia="宋体" w:cs="Times New Roman"/>
          <w:sz w:val="24"/>
          <w:szCs w:val="24"/>
        </w:rPr>
        <w:t>抽屉功能单元须具有断开、试验、工作三个位置，且每个位置均须有定位装置和位置指示。相同规格的抽屉须具有百分之百的互换性。</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4.1.6</w:t>
      </w:r>
      <w:r>
        <w:rPr>
          <w:rFonts w:ascii="Times New Roman" w:hAnsi="Times New Roman" w:eastAsia="宋体" w:cs="Times New Roman"/>
          <w:sz w:val="24"/>
          <w:szCs w:val="24"/>
        </w:rPr>
        <w:t>开关柜防护等级为IP</w:t>
      </w:r>
      <w:r>
        <w:rPr>
          <w:rFonts w:hint="eastAsia" w:ascii="Times New Roman" w:hAnsi="Times New Roman" w:eastAsia="宋体" w:cs="Times New Roman"/>
          <w:sz w:val="24"/>
          <w:szCs w:val="24"/>
        </w:rPr>
        <w:t>3</w:t>
      </w:r>
      <w:r>
        <w:rPr>
          <w:rFonts w:ascii="Times New Roman" w:hAnsi="Times New Roman" w:eastAsia="宋体" w:cs="Times New Roman"/>
          <w:sz w:val="24"/>
          <w:szCs w:val="24"/>
        </w:rPr>
        <w:t>X，</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4.1.7</w:t>
      </w:r>
      <w:r>
        <w:rPr>
          <w:rFonts w:ascii="Times New Roman" w:hAnsi="Times New Roman" w:eastAsia="宋体" w:cs="Times New Roman"/>
          <w:sz w:val="24"/>
          <w:szCs w:val="24"/>
        </w:rPr>
        <w:t>母线隔离、绝缘</w:t>
      </w:r>
      <w:r>
        <w:rPr>
          <w:rFonts w:hint="eastAsia" w:ascii="Times New Roman" w:hAnsi="Times New Roman" w:eastAsia="宋体" w:cs="Times New Roman"/>
          <w:sz w:val="24"/>
          <w:szCs w:val="24"/>
        </w:rPr>
        <w:t>、</w:t>
      </w:r>
      <w:r>
        <w:rPr>
          <w:rFonts w:ascii="Times New Roman" w:hAnsi="Times New Roman" w:eastAsia="宋体" w:cs="Times New Roman"/>
          <w:sz w:val="24"/>
          <w:szCs w:val="24"/>
        </w:rPr>
        <w:t>垂直母线完全封闭在玻璃多元脂隔板</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主母线相与相之间相互隔离绝缘</w:t>
      </w:r>
      <w:r>
        <w:rPr>
          <w:rFonts w:hint="eastAsia" w:ascii="Times New Roman" w:hAnsi="Times New Roman" w:eastAsia="宋体" w:cs="Times New Roman"/>
          <w:sz w:val="24"/>
          <w:szCs w:val="24"/>
        </w:rPr>
        <w:t>。</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4.1.8柜体颜色提供色板由甲方确定，</w:t>
      </w:r>
      <w:r>
        <w:rPr>
          <w:rFonts w:ascii="Times New Roman" w:hAnsi="Times New Roman" w:eastAsia="宋体" w:cs="Times New Roman"/>
          <w:sz w:val="24"/>
          <w:szCs w:val="24"/>
        </w:rPr>
        <w:t>柜体前后都要有柜号</w:t>
      </w:r>
      <w:r>
        <w:rPr>
          <w:rFonts w:hint="eastAsia" w:ascii="Times New Roman" w:hAnsi="Times New Roman" w:eastAsia="宋体" w:cs="Times New Roman"/>
          <w:sz w:val="24"/>
          <w:szCs w:val="24"/>
        </w:rPr>
        <w:t>。</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4.1.9</w:t>
      </w:r>
      <w:r>
        <w:rPr>
          <w:rFonts w:ascii="Times New Roman" w:hAnsi="Times New Roman" w:eastAsia="宋体" w:cs="Times New Roman"/>
          <w:sz w:val="24"/>
          <w:szCs w:val="24"/>
        </w:rPr>
        <w:t>抽屉一次插件与</w:t>
      </w:r>
      <w:r>
        <w:rPr>
          <w:rFonts w:hint="eastAsia" w:ascii="Times New Roman" w:hAnsi="Times New Roman" w:eastAsia="宋体" w:cs="Times New Roman"/>
          <w:sz w:val="24"/>
          <w:szCs w:val="24"/>
        </w:rPr>
        <w:t>100A</w:t>
      </w:r>
      <w:r>
        <w:rPr>
          <w:rFonts w:ascii="Times New Roman" w:hAnsi="Times New Roman" w:eastAsia="宋体" w:cs="Times New Roman"/>
          <w:sz w:val="24"/>
          <w:szCs w:val="24"/>
        </w:rPr>
        <w:t>及以上的开关，采用铜排连结</w:t>
      </w:r>
      <w:r>
        <w:rPr>
          <w:rFonts w:hint="eastAsia" w:ascii="Times New Roman" w:hAnsi="Times New Roman" w:eastAsia="宋体" w:cs="Times New Roman"/>
          <w:sz w:val="24"/>
          <w:szCs w:val="24"/>
        </w:rPr>
        <w:t>；100A</w:t>
      </w:r>
      <w:r>
        <w:rPr>
          <w:rFonts w:ascii="Times New Roman" w:hAnsi="Times New Roman" w:eastAsia="宋体" w:cs="Times New Roman"/>
          <w:sz w:val="24"/>
          <w:szCs w:val="24"/>
        </w:rPr>
        <w:t>以下的开关，采用有色分相防火电缆连结。</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4.1.10</w:t>
      </w:r>
      <w:r>
        <w:rPr>
          <w:rFonts w:ascii="Times New Roman" w:hAnsi="Times New Roman" w:eastAsia="宋体" w:cs="Times New Roman"/>
          <w:sz w:val="24"/>
          <w:szCs w:val="24"/>
        </w:rPr>
        <w:t>接零、接地要求，柜内设备有主接零、接地排，并要设有分支排，按回路配安装口，留有2个备用口，一个接口只能接一个回路。</w:t>
      </w:r>
      <w:r>
        <w:rPr>
          <w:rFonts w:hint="eastAsia" w:ascii="Times New Roman" w:hAnsi="Times New Roman" w:eastAsia="宋体" w:cs="Times New Roman"/>
          <w:sz w:val="24"/>
          <w:szCs w:val="24"/>
        </w:rPr>
        <w:t>框门</w:t>
      </w:r>
      <w:r>
        <w:rPr>
          <w:rFonts w:ascii="Times New Roman" w:hAnsi="Times New Roman" w:eastAsia="宋体" w:cs="Times New Roman"/>
          <w:sz w:val="24"/>
          <w:szCs w:val="24"/>
        </w:rPr>
        <w:t>接地采用镀锡软铜带。</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11</w:t>
      </w:r>
      <w:r>
        <w:rPr>
          <w:rFonts w:ascii="Times New Roman" w:hAnsi="Times New Roman" w:eastAsia="宋体" w:cs="Times New Roman"/>
          <w:sz w:val="24"/>
          <w:szCs w:val="24"/>
        </w:rPr>
        <w:t>应有专用信号端子排,用于采集信号:电压、电流、分、合闸状态及故障报警。所有的控制线最小应为2.5mm2、600v、90℃防火多股软铜线，线号采用电脑打字。</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12</w:t>
      </w:r>
      <w:r>
        <w:rPr>
          <w:rFonts w:ascii="Times New Roman" w:hAnsi="Times New Roman" w:eastAsia="宋体" w:cs="Times New Roman"/>
          <w:sz w:val="24"/>
          <w:szCs w:val="24"/>
        </w:rPr>
        <w:t>市电、发电电源切换柜要求能自动切换，并配有机械、电气联锁。</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13</w:t>
      </w:r>
      <w:r>
        <w:rPr>
          <w:rFonts w:ascii="Times New Roman" w:hAnsi="Times New Roman" w:eastAsia="宋体" w:cs="Times New Roman"/>
          <w:sz w:val="24"/>
          <w:szCs w:val="24"/>
        </w:rPr>
        <w:t>主母排按图纸要求，接头处要求套绝缘（1KV）的有色分相标识热缩套，母排上标有载流值（40</w:t>
      </w:r>
      <w:r>
        <w:rPr>
          <w:rFonts w:hint="eastAsia" w:ascii="Times New Roman" w:hAnsi="Times New Roman" w:eastAsia="宋体" w:cs="Times New Roman"/>
          <w:sz w:val="24"/>
          <w:szCs w:val="24"/>
        </w:rPr>
        <w:t>℃</w:t>
      </w:r>
      <w:r>
        <w:rPr>
          <w:rFonts w:ascii="Times New Roman" w:hAnsi="Times New Roman" w:eastAsia="宋体" w:cs="Times New Roman"/>
          <w:sz w:val="24"/>
          <w:szCs w:val="24"/>
        </w:rPr>
        <w:t>），在满足图纸要求下，必须留有余量以便扩容。</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14</w:t>
      </w:r>
      <w:r>
        <w:rPr>
          <w:rFonts w:ascii="Times New Roman" w:hAnsi="Times New Roman" w:eastAsia="宋体" w:cs="Times New Roman"/>
          <w:sz w:val="24"/>
          <w:szCs w:val="24"/>
        </w:rPr>
        <w:t>低压无功补偿电容器采用分步自动投切，功率因数能补偿到</w:t>
      </w:r>
      <w:r>
        <w:rPr>
          <w:rFonts w:hint="eastAsia" w:ascii="Times New Roman" w:hAnsi="Times New Roman" w:eastAsia="宋体" w:cs="Times New Roman"/>
          <w:sz w:val="24"/>
          <w:szCs w:val="24"/>
        </w:rPr>
        <w:t>变</w:t>
      </w:r>
      <w:r>
        <w:rPr>
          <w:rFonts w:ascii="Times New Roman" w:hAnsi="Times New Roman" w:eastAsia="宋体" w:cs="Times New Roman"/>
          <w:sz w:val="24"/>
          <w:szCs w:val="24"/>
        </w:rPr>
        <w:t>压器高压侧0.9</w:t>
      </w:r>
      <w:r>
        <w:rPr>
          <w:rFonts w:hint="eastAsia" w:ascii="Times New Roman" w:hAnsi="Times New Roman" w:eastAsia="宋体" w:cs="Times New Roman"/>
          <w:sz w:val="24"/>
          <w:szCs w:val="24"/>
        </w:rPr>
        <w:t>5</w:t>
      </w:r>
      <w:r>
        <w:rPr>
          <w:rFonts w:ascii="Times New Roman" w:hAnsi="Times New Roman" w:eastAsia="宋体" w:cs="Times New Roman"/>
          <w:sz w:val="24"/>
          <w:szCs w:val="24"/>
        </w:rPr>
        <w:t>以上。</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15</w:t>
      </w:r>
      <w:r>
        <w:rPr>
          <w:rFonts w:ascii="Times New Roman" w:hAnsi="Times New Roman" w:eastAsia="宋体" w:cs="Times New Roman"/>
          <w:sz w:val="24"/>
          <w:szCs w:val="24"/>
        </w:rPr>
        <w:t>变压器间设有电气互锁，防止变压器并列运行。</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1</w:t>
      </w:r>
      <w:r>
        <w:rPr>
          <w:rFonts w:hint="eastAsia" w:ascii="宋体" w:hAnsi="宋体" w:eastAsia="宋体" w:cs="Times New Roman"/>
          <w:sz w:val="24"/>
          <w:szCs w:val="24"/>
        </w:rPr>
        <w:t>.</w:t>
      </w:r>
      <w:r>
        <w:rPr>
          <w:rFonts w:hint="eastAsia" w:ascii="Times New Roman" w:hAnsi="Times New Roman" w:eastAsia="宋体" w:cs="Times New Roman"/>
          <w:sz w:val="24"/>
          <w:szCs w:val="24"/>
        </w:rPr>
        <w:t>16</w:t>
      </w:r>
      <w:r>
        <w:rPr>
          <w:rFonts w:ascii="Times New Roman" w:hAnsi="Times New Roman" w:eastAsia="宋体" w:cs="Times New Roman"/>
          <w:sz w:val="24"/>
          <w:szCs w:val="24"/>
        </w:rPr>
        <w:t>一次回路</w:t>
      </w:r>
      <w:r>
        <w:rPr>
          <w:rFonts w:hint="eastAsia" w:ascii="Times New Roman" w:hAnsi="Times New Roman" w:eastAsia="宋体" w:cs="Times New Roman"/>
          <w:sz w:val="24"/>
          <w:szCs w:val="24"/>
        </w:rPr>
        <w:t>用途标示</w:t>
      </w:r>
      <w:r>
        <w:rPr>
          <w:rFonts w:ascii="Times New Roman" w:hAnsi="Times New Roman" w:eastAsia="宋体" w:cs="Times New Roman"/>
          <w:sz w:val="24"/>
          <w:szCs w:val="24"/>
        </w:rPr>
        <w:t>要求用蓝色塑料条固定在屏面上，用螺丝固定，功能单元、信号灯、按钮都要有相应中文标识</w:t>
      </w:r>
      <w:r>
        <w:rPr>
          <w:rFonts w:hint="eastAsia" w:ascii="Times New Roman" w:hAnsi="Times New Roman" w:eastAsia="宋体" w:cs="Times New Roman"/>
          <w:sz w:val="24"/>
          <w:szCs w:val="24"/>
        </w:rPr>
        <w:t>。</w:t>
      </w:r>
    </w:p>
    <w:p>
      <w:pPr>
        <w:spacing w:line="360" w:lineRule="auto"/>
        <w:ind w:left="1320" w:hanging="1320" w:hangingChars="550"/>
        <w:rPr>
          <w:rFonts w:ascii="宋体" w:hAnsi="宋体" w:eastAsia="宋体" w:cs="Times New Roman"/>
          <w:sz w:val="24"/>
          <w:szCs w:val="24"/>
        </w:rPr>
      </w:pPr>
      <w:r>
        <w:rPr>
          <w:rFonts w:hint="eastAsia" w:ascii="Times New Roman" w:hAnsi="Times New Roman" w:eastAsia="宋体" w:cs="Times New Roman"/>
          <w:sz w:val="24"/>
          <w:szCs w:val="24"/>
        </w:rPr>
        <w:t xml:space="preserve">      4.1.17施工单位须按甲方要求的低压柜内主要元器件品牌及规格供货。</w:t>
      </w:r>
    </w:p>
    <w:p>
      <w:pPr>
        <w:spacing w:line="360" w:lineRule="auto"/>
        <w:ind w:firstLine="600" w:firstLineChars="250"/>
        <w:rPr>
          <w:rFonts w:ascii="Times New Roman" w:hAnsi="Times New Roman" w:eastAsia="宋体" w:cs="Times New Roman"/>
          <w:sz w:val="24"/>
          <w:szCs w:val="24"/>
        </w:rPr>
      </w:pPr>
      <w:r>
        <w:rPr>
          <w:rFonts w:hint="eastAsia" w:ascii="宋体" w:hAnsi="宋体" w:eastAsia="宋体" w:cs="Times New Roman"/>
          <w:sz w:val="24"/>
          <w:szCs w:val="24"/>
        </w:rPr>
        <w:t>4.2、</w:t>
      </w:r>
      <w:r>
        <w:rPr>
          <w:rFonts w:hint="eastAsia" w:ascii="Times New Roman" w:hAnsi="Times New Roman" w:eastAsia="宋体" w:cs="Times New Roman"/>
          <w:sz w:val="24"/>
          <w:szCs w:val="24"/>
        </w:rPr>
        <w:t>封闭</w:t>
      </w:r>
      <w:r>
        <w:rPr>
          <w:rFonts w:ascii="Times New Roman" w:hAnsi="Times New Roman" w:eastAsia="宋体" w:cs="Times New Roman"/>
          <w:sz w:val="24"/>
          <w:szCs w:val="24"/>
        </w:rPr>
        <w:t>母线槽技术要求</w:t>
      </w:r>
    </w:p>
    <w:p>
      <w:pPr>
        <w:spacing w:line="360" w:lineRule="auto"/>
        <w:ind w:left="1081" w:leftChars="172" w:hanging="720" w:hangingChars="300"/>
        <w:rPr>
          <w:rFonts w:ascii="宋体" w:hAnsi="宋体" w:eastAsia="宋体" w:cs="Times New Roman"/>
          <w:color w:val="000000"/>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2</w:t>
      </w:r>
      <w:r>
        <w:rPr>
          <w:rFonts w:hint="eastAsia" w:ascii="宋体" w:hAnsi="宋体" w:eastAsia="宋体" w:cs="Times New Roman"/>
          <w:sz w:val="24"/>
          <w:szCs w:val="24"/>
        </w:rPr>
        <w:t>.1</w:t>
      </w:r>
      <w:r>
        <w:rPr>
          <w:rFonts w:ascii="Times New Roman" w:hAnsi="Times New Roman" w:eastAsia="宋体" w:cs="Times New Roman"/>
          <w:sz w:val="24"/>
          <w:szCs w:val="24"/>
        </w:rPr>
        <w:t>母线的额定电流</w:t>
      </w:r>
      <w:r>
        <w:rPr>
          <w:rFonts w:hint="eastAsia" w:ascii="Times New Roman" w:hAnsi="Times New Roman" w:eastAsia="宋体" w:cs="Times New Roman"/>
          <w:sz w:val="24"/>
          <w:szCs w:val="24"/>
        </w:rPr>
        <w:t>按图纸设计，</w:t>
      </w:r>
      <w:r>
        <w:rPr>
          <w:rFonts w:hint="eastAsia" w:ascii="宋体" w:hAnsi="宋体" w:eastAsia="宋体" w:cs="Times New Roman"/>
          <w:color w:val="000000"/>
          <w:sz w:val="24"/>
          <w:szCs w:val="24"/>
        </w:rPr>
        <w:t>母线槽采用三相四线制制密集式铜母线（即五芯铜导体产品），导体为T2电解铜轧制的高导电率TMY电工硬铜排，铜的纯度</w:t>
      </w:r>
      <w:r>
        <w:rPr>
          <w:rFonts w:hint="eastAsia" w:ascii="宋体" w:hAnsi="宋体" w:eastAsia="宋体" w:cs="Times New Roman"/>
          <w:bCs/>
          <w:color w:val="000000"/>
          <w:sz w:val="24"/>
          <w:szCs w:val="24"/>
        </w:rPr>
        <w:t>必须≥99.95%，铜排表面要求全长镀锡。</w:t>
      </w:r>
      <w:r>
        <w:rPr>
          <w:rFonts w:hint="eastAsia" w:ascii="宋体" w:hAnsi="宋体" w:eastAsia="宋体" w:cs="宋体"/>
          <w:color w:val="000000"/>
          <w:sz w:val="24"/>
          <w:szCs w:val="24"/>
        </w:rPr>
        <w:t>母线槽必须为包括在同一连续金属外壳内之三相和中性线相同截面的铜母线，</w:t>
      </w:r>
      <w:r>
        <w:rPr>
          <w:rFonts w:hint="eastAsia" w:ascii="宋体" w:hAnsi="宋体" w:eastAsia="宋体" w:cs="Times New Roman"/>
          <w:sz w:val="24"/>
          <w:szCs w:val="24"/>
        </w:rPr>
        <w:t>采用100%相线容量的N线，</w:t>
      </w:r>
      <w:r>
        <w:rPr>
          <w:rFonts w:hint="eastAsia" w:ascii="宋体" w:hAnsi="宋体" w:eastAsia="宋体" w:cs="宋体"/>
          <w:color w:val="000000"/>
          <w:sz w:val="24"/>
          <w:szCs w:val="24"/>
        </w:rPr>
        <w:t>地线铜母排也须包括在同一壳体内，为单独铜排接地产品，其铜排截面不少于相线截面的50％</w:t>
      </w:r>
      <w:r>
        <w:rPr>
          <w:rFonts w:ascii="Times New Roman" w:hAnsi="Times New Roman" w:eastAsia="宋体" w:cs="Times New Roman"/>
          <w:sz w:val="24"/>
          <w:szCs w:val="24"/>
        </w:rPr>
        <w:t>。</w:t>
      </w:r>
    </w:p>
    <w:p>
      <w:pPr>
        <w:spacing w:line="360" w:lineRule="auto"/>
        <w:ind w:left="1081" w:leftChars="172" w:hanging="720" w:hangingChars="300"/>
        <w:rPr>
          <w:rFonts w:ascii="宋体" w:hAnsi="宋体" w:eastAsia="宋体" w:cs="Times New Roman"/>
          <w:color w:val="000000"/>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2</w:t>
      </w:r>
      <w:r>
        <w:rPr>
          <w:rFonts w:hint="eastAsia" w:ascii="宋体" w:hAnsi="宋体" w:eastAsia="宋体" w:cs="Times New Roman"/>
          <w:sz w:val="24"/>
          <w:szCs w:val="24"/>
        </w:rPr>
        <w:t>.2</w:t>
      </w:r>
      <w:r>
        <w:rPr>
          <w:rFonts w:ascii="Times New Roman" w:hAnsi="Times New Roman" w:eastAsia="宋体" w:cs="Times New Roman"/>
          <w:sz w:val="24"/>
          <w:szCs w:val="24"/>
        </w:rPr>
        <w:t>母线的长度及相关转角、始端箱、接头等附件的数量请按图计算</w:t>
      </w:r>
      <w:r>
        <w:rPr>
          <w:rFonts w:hint="eastAsia" w:ascii="Times New Roman" w:hAnsi="Times New Roman" w:eastAsia="宋体" w:cs="Times New Roman"/>
          <w:sz w:val="24"/>
          <w:szCs w:val="24"/>
        </w:rPr>
        <w:t>。</w:t>
      </w:r>
      <w:r>
        <w:rPr>
          <w:rFonts w:hint="eastAsia" w:ascii="宋体" w:hAnsi="宋体" w:eastAsia="宋体" w:cs="Times New Roman"/>
          <w:color w:val="000000"/>
          <w:sz w:val="24"/>
          <w:szCs w:val="24"/>
        </w:rPr>
        <w:t>与主要设备接驳：变压器、发电机与母线过渡搭接采用与母线槽生产厂家原厂配套的软连接连接，避免长时间运行产生松动。</w:t>
      </w:r>
    </w:p>
    <w:p>
      <w:pPr>
        <w:spacing w:line="360" w:lineRule="auto"/>
        <w:ind w:left="1079" w:leftChars="171" w:hanging="720" w:hangingChars="300"/>
        <w:rPr>
          <w:rFonts w:ascii="宋体" w:hAnsi="宋体" w:eastAsia="宋体" w:cs="Times New Roman"/>
          <w:color w:val="000000"/>
          <w:sz w:val="24"/>
          <w:szCs w:val="24"/>
        </w:rPr>
      </w:pPr>
      <w:r>
        <w:rPr>
          <w:rFonts w:hint="eastAsia" w:ascii="宋体" w:hAnsi="宋体" w:eastAsia="宋体" w:cs="Times New Roman"/>
          <w:color w:val="000000"/>
          <w:sz w:val="24"/>
          <w:szCs w:val="24"/>
        </w:rPr>
        <w:t xml:space="preserve">   4.2.3密集型配电母线槽应设计合理，品质及性能必须是优质、稳定和可靠的。具有阻抗低、散热好、电压降低、防火阻隔、防溅水、耐机械冲击的性能；</w:t>
      </w:r>
    </w:p>
    <w:p>
      <w:pPr>
        <w:spacing w:line="360" w:lineRule="auto"/>
        <w:ind w:left="1110" w:leftChars="300" w:hanging="480" w:hangingChars="200"/>
        <w:rPr>
          <w:rFonts w:ascii="宋体" w:hAnsi="宋体" w:eastAsia="宋体" w:cs="Times New Roman"/>
          <w:color w:val="000000"/>
          <w:sz w:val="24"/>
          <w:szCs w:val="24"/>
        </w:rPr>
      </w:pPr>
      <w:r>
        <w:rPr>
          <w:rFonts w:hint="eastAsia" w:ascii="宋体" w:hAnsi="宋体" w:eastAsia="宋体" w:cs="Times New Roman"/>
          <w:color w:val="000000"/>
          <w:sz w:val="24"/>
          <w:szCs w:val="24"/>
        </w:rPr>
        <w:t>4.2.4连接单元要求：母线槽的连接性能应可靠，保证具有尽量小的接触电阻；母线槽的连接操作应当满足快速连接的要求，应使用单螺栓进行连接，其材质应为高强度钢，并且应有力矩控制措施，应确保整个连接部位的受压面均匀。连接单元有防错相功能。</w:t>
      </w:r>
    </w:p>
    <w:p>
      <w:pPr>
        <w:spacing w:line="360" w:lineRule="auto"/>
        <w:ind w:left="1109" w:leftChars="298" w:hanging="484" w:hangingChars="202"/>
        <w:rPr>
          <w:rFonts w:ascii="宋体" w:hAnsi="宋体" w:eastAsia="宋体" w:cs="Times New Roman"/>
          <w:color w:val="000000"/>
          <w:sz w:val="24"/>
          <w:szCs w:val="24"/>
        </w:rPr>
      </w:pPr>
      <w:r>
        <w:rPr>
          <w:rFonts w:hint="eastAsia" w:ascii="宋体" w:hAnsi="宋体" w:eastAsia="宋体" w:cs="Times New Roman"/>
          <w:bCs/>
          <w:color w:val="000000"/>
          <w:sz w:val="24"/>
          <w:szCs w:val="24"/>
        </w:rPr>
        <w:t>4.2.5绝缘材料：采用美国杜邦聚脂薄膜材料达到B级绝缘等级，能耐受130</w:t>
      </w:r>
      <w:r>
        <w:rPr>
          <w:rFonts w:hint="eastAsia" w:ascii="宋体" w:hAnsi="宋体" w:eastAsia="宋体" w:cs="Times New Roman"/>
          <w:bCs/>
          <w:color w:val="000000"/>
          <w:sz w:val="24"/>
          <w:szCs w:val="24"/>
        </w:rPr>
        <w:sym w:font="Symbol" w:char="F0B0"/>
      </w:r>
      <w:r>
        <w:rPr>
          <w:rFonts w:hint="eastAsia" w:ascii="宋体" w:hAnsi="宋体" w:eastAsia="宋体" w:cs="Times New Roman"/>
          <w:bCs/>
          <w:color w:val="000000"/>
          <w:sz w:val="24"/>
          <w:szCs w:val="24"/>
        </w:rPr>
        <w:t>高温，保证在</w:t>
      </w:r>
      <w:r>
        <w:rPr>
          <w:rFonts w:hint="eastAsia" w:ascii="宋体" w:hAnsi="宋体" w:eastAsia="宋体" w:cs="Times New Roman"/>
          <w:color w:val="000000"/>
          <w:sz w:val="24"/>
          <w:szCs w:val="24"/>
        </w:rPr>
        <w:t>高温场合的长绝缘寿命与可靠性、环保性，绝缘材料在火灾时不能放出有毒气体。</w:t>
      </w:r>
    </w:p>
    <w:p>
      <w:pPr>
        <w:spacing w:line="360" w:lineRule="auto"/>
        <w:ind w:left="1093" w:leftChars="292" w:hanging="480" w:hangingChars="200"/>
        <w:rPr>
          <w:rFonts w:ascii="宋体" w:hAnsi="宋体" w:eastAsia="宋体" w:cs="Times New Roman"/>
          <w:color w:val="000000"/>
          <w:sz w:val="24"/>
          <w:szCs w:val="24"/>
        </w:rPr>
      </w:pPr>
      <w:r>
        <w:rPr>
          <w:rFonts w:hint="eastAsia" w:ascii="宋体" w:hAnsi="宋体" w:eastAsia="宋体" w:cs="Times New Roman"/>
          <w:color w:val="000000"/>
          <w:sz w:val="24"/>
          <w:szCs w:val="24"/>
        </w:rPr>
        <w:t>4.2.6外壳及防护等级：母线槽外壳材质须采用铝镁合金或钢制外壳，表面环氧树脂喷涂，应具有低的磁滞涡流损耗特性。母线槽的防护等级不低于IP54，应完全密封以免机械损伤和灰尘进入，壳体紧固采用铆接工艺，避免因长时间运行电磁震动引起母线外壳松动；</w:t>
      </w:r>
    </w:p>
    <w:p>
      <w:pPr>
        <w:spacing w:line="360" w:lineRule="auto"/>
        <w:ind w:left="1110" w:leftChars="300" w:hanging="480" w:hangingChars="200"/>
        <w:rPr>
          <w:rFonts w:ascii="宋体" w:hAnsi="宋体" w:eastAsia="宋体" w:cs="Times New Roman"/>
          <w:color w:val="000000"/>
          <w:sz w:val="24"/>
          <w:szCs w:val="24"/>
        </w:rPr>
      </w:pPr>
      <w:r>
        <w:rPr>
          <w:rFonts w:hint="eastAsia" w:ascii="宋体" w:hAnsi="宋体" w:eastAsia="宋体" w:cs="Times New Roman"/>
          <w:color w:val="000000"/>
          <w:sz w:val="24"/>
          <w:szCs w:val="24"/>
        </w:rPr>
        <w:t>4.2.7温升：母线槽内各点的温升应当均匀，包括连接头的温升也应当不超过55K，外壳温度不超过35℃；</w:t>
      </w:r>
    </w:p>
    <w:p>
      <w:pPr>
        <w:spacing w:line="360" w:lineRule="auto"/>
        <w:ind w:left="775" w:leftChars="312" w:hanging="120" w:hangingChars="50"/>
        <w:rPr>
          <w:rFonts w:ascii="宋体" w:hAnsi="宋体" w:eastAsia="宋体" w:cs="Times New Roman"/>
          <w:color w:val="000000"/>
          <w:sz w:val="24"/>
          <w:szCs w:val="24"/>
        </w:rPr>
      </w:pPr>
      <w:r>
        <w:rPr>
          <w:rFonts w:hint="eastAsia" w:ascii="宋体" w:hAnsi="宋体" w:eastAsia="宋体" w:cs="Times New Roman"/>
          <w:color w:val="000000"/>
          <w:sz w:val="24"/>
          <w:szCs w:val="24"/>
        </w:rPr>
        <w:t>4.2.8防腐：外壳需经过良好的防腐蚀处理,适合沿海城市使用；</w:t>
      </w:r>
    </w:p>
    <w:p>
      <w:pPr>
        <w:spacing w:line="360" w:lineRule="auto"/>
        <w:ind w:left="1081" w:leftChars="172" w:hanging="720" w:hangingChars="300"/>
        <w:rPr>
          <w:rFonts w:ascii="宋体" w:hAnsi="宋体" w:eastAsia="宋体" w:cs="Times New Roman"/>
          <w:sz w:val="24"/>
          <w:szCs w:val="24"/>
        </w:rPr>
      </w:pPr>
    </w:p>
    <w:p>
      <w:pPr>
        <w:spacing w:line="360" w:lineRule="auto"/>
        <w:ind w:left="1200" w:hanging="1200" w:hangingChars="500"/>
        <w:rPr>
          <w:rFonts w:ascii="宋体" w:hAnsi="宋体" w:eastAsia="宋体" w:cs="Times New Roman"/>
          <w:sz w:val="24"/>
          <w:szCs w:val="24"/>
        </w:rPr>
      </w:pPr>
      <w:r>
        <w:rPr>
          <w:rFonts w:hint="eastAsia" w:ascii="宋体" w:hAnsi="宋体" w:eastAsia="宋体" w:cs="Times New Roman"/>
          <w:sz w:val="24"/>
          <w:szCs w:val="24"/>
        </w:rPr>
        <w:t xml:space="preserve">     4.3、</w:t>
      </w:r>
      <w:r>
        <w:rPr>
          <w:rFonts w:ascii="Times New Roman" w:hAnsi="Times New Roman" w:eastAsia="宋体" w:cs="Times New Roman"/>
          <w:sz w:val="24"/>
          <w:szCs w:val="24"/>
        </w:rPr>
        <w:t>主要元器件</w:t>
      </w:r>
      <w:r>
        <w:rPr>
          <w:rFonts w:hint="eastAsia" w:ascii="Times New Roman" w:hAnsi="Times New Roman" w:eastAsia="宋体" w:cs="Times New Roman"/>
          <w:sz w:val="24"/>
          <w:szCs w:val="24"/>
        </w:rPr>
        <w:t>参数及品牌</w:t>
      </w:r>
      <w:r>
        <w:rPr>
          <w:rFonts w:ascii="Times New Roman" w:hAnsi="Times New Roman" w:eastAsia="宋体" w:cs="Times New Roman"/>
          <w:sz w:val="24"/>
          <w:szCs w:val="24"/>
        </w:rPr>
        <w:t>要求</w:t>
      </w:r>
    </w:p>
    <w:p>
      <w:pPr>
        <w:spacing w:line="360" w:lineRule="auto"/>
        <w:ind w:left="661" w:leftChars="258" w:hanging="120" w:hangingChars="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壳架额定电流</w:t>
      </w:r>
      <w:r>
        <w:rPr>
          <w:rFonts w:ascii="Times New Roman" w:hAnsi="Times New Roman" w:eastAsia="宋体" w:cs="Times New Roman"/>
          <w:sz w:val="24"/>
          <w:szCs w:val="24"/>
        </w:rPr>
        <w:t>630A以上</w:t>
      </w:r>
      <w:r>
        <w:rPr>
          <w:rFonts w:hint="eastAsia" w:ascii="Times New Roman" w:hAnsi="Times New Roman" w:eastAsia="宋体" w:cs="Times New Roman"/>
          <w:sz w:val="24"/>
          <w:szCs w:val="24"/>
        </w:rPr>
        <w:t>，</w:t>
      </w:r>
      <w:r>
        <w:rPr>
          <w:rFonts w:hint="eastAsia" w:ascii="宋体" w:hAnsi="宋体" w:eastAsia="宋体" w:cs="Times New Roman"/>
          <w:sz w:val="24"/>
          <w:szCs w:val="24"/>
        </w:rPr>
        <w:t>要求额定工作短路开断电流（Ics</w:t>
      </w:r>
      <w:r>
        <w:rPr>
          <w:rFonts w:ascii="宋体" w:hAnsi="宋体" w:eastAsia="宋体" w:cs="Times New Roman"/>
          <w:sz w:val="24"/>
          <w:szCs w:val="24"/>
        </w:rPr>
        <w:t>）</w:t>
      </w:r>
      <w:r>
        <w:rPr>
          <w:rFonts w:hint="eastAsia" w:ascii="宋体" w:hAnsi="宋体" w:eastAsia="宋体" w:cs="Times New Roman"/>
          <w:sz w:val="24"/>
          <w:szCs w:val="24"/>
        </w:rPr>
        <w:t>不小</w:t>
      </w:r>
      <w:r>
        <w:rPr>
          <w:rFonts w:hint="eastAsia" w:ascii="Times New Roman" w:hAnsi="Times New Roman" w:eastAsia="宋体" w:cs="Times New Roman"/>
          <w:sz w:val="24"/>
          <w:szCs w:val="24"/>
        </w:rPr>
        <w:t>于6</w:t>
      </w:r>
      <w:r>
        <w:rPr>
          <w:rFonts w:ascii="Times New Roman" w:hAnsi="Times New Roman" w:eastAsia="宋体" w:cs="Times New Roman"/>
          <w:sz w:val="24"/>
          <w:szCs w:val="24"/>
        </w:rPr>
        <w:t>5</w:t>
      </w:r>
      <w:r>
        <w:rPr>
          <w:rFonts w:hint="eastAsia" w:ascii="Times New Roman" w:hAnsi="Times New Roman" w:eastAsia="宋体" w:cs="Times New Roman"/>
          <w:sz w:val="24"/>
          <w:szCs w:val="24"/>
        </w:rPr>
        <w:t>KA；壳架额定电流</w:t>
      </w:r>
      <w:r>
        <w:rPr>
          <w:rFonts w:ascii="Times New Roman" w:hAnsi="Times New Roman" w:eastAsia="宋体" w:cs="Times New Roman"/>
          <w:sz w:val="24"/>
          <w:szCs w:val="24"/>
        </w:rPr>
        <w:t>630A以</w:t>
      </w:r>
      <w:r>
        <w:rPr>
          <w:rFonts w:hint="eastAsia" w:ascii="Times New Roman" w:hAnsi="Times New Roman" w:eastAsia="宋体" w:cs="Times New Roman"/>
          <w:sz w:val="24"/>
          <w:szCs w:val="24"/>
        </w:rPr>
        <w:t>下</w:t>
      </w:r>
      <w:r>
        <w:rPr>
          <w:rFonts w:ascii="Times New Roman" w:hAnsi="Times New Roman" w:eastAsia="宋体" w:cs="Times New Roman"/>
          <w:sz w:val="24"/>
          <w:szCs w:val="24"/>
        </w:rPr>
        <w:t>（含630A）</w:t>
      </w:r>
      <w:r>
        <w:rPr>
          <w:rFonts w:hint="eastAsia" w:ascii="Times New Roman" w:hAnsi="Times New Roman" w:eastAsia="宋体" w:cs="Times New Roman"/>
          <w:sz w:val="24"/>
          <w:szCs w:val="24"/>
        </w:rPr>
        <w:t>，要求额定工作短路开断电流（Ics</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不小于</w:t>
      </w:r>
      <w:r>
        <w:rPr>
          <w:rFonts w:ascii="Times New Roman" w:hAnsi="Times New Roman" w:eastAsia="宋体" w:cs="Times New Roman"/>
          <w:sz w:val="24"/>
          <w:szCs w:val="24"/>
        </w:rPr>
        <w:t>50</w:t>
      </w:r>
      <w:r>
        <w:rPr>
          <w:rFonts w:hint="eastAsia" w:ascii="Times New Roman" w:hAnsi="Times New Roman" w:eastAsia="宋体" w:cs="Times New Roman"/>
          <w:sz w:val="24"/>
          <w:szCs w:val="24"/>
        </w:rPr>
        <w:t>KA；</w:t>
      </w:r>
    </w:p>
    <w:p>
      <w:pPr>
        <w:spacing w:before="156" w:beforeLines="50" w:line="360" w:lineRule="auto"/>
        <w:ind w:firstLine="1200" w:firstLineChars="500"/>
        <w:outlineLvl w:val="0"/>
        <w:rPr>
          <w:rFonts w:ascii="Times New Roman" w:hAnsi="宋体" w:eastAsia="宋体" w:cs="Times New Roman"/>
          <w:sz w:val="24"/>
          <w:szCs w:val="24"/>
        </w:rPr>
      </w:pPr>
      <w:r>
        <w:rPr>
          <w:rFonts w:hint="eastAsia" w:ascii="Times New Roman" w:hAnsi="宋体" w:eastAsia="宋体" w:cs="Times New Roman"/>
          <w:sz w:val="24"/>
          <w:szCs w:val="24"/>
        </w:rPr>
        <w:t>630A以上，须选用框架断路器；630A及以下，选用塑壳断路器；</w:t>
      </w:r>
    </w:p>
    <w:p>
      <w:pPr>
        <w:spacing w:line="360" w:lineRule="auto"/>
        <w:ind w:left="632" w:leftChars="301" w:firstLine="360" w:firstLineChars="150"/>
        <w:rPr>
          <w:rFonts w:hint="eastAsia" w:ascii="Times New Roman" w:hAnsi="Times New Roman" w:eastAsia="宋体" w:cs="Times New Roman"/>
          <w:sz w:val="24"/>
          <w:szCs w:val="24"/>
        </w:rPr>
      </w:pPr>
      <w:r>
        <w:rPr>
          <w:rFonts w:hint="eastAsia" w:ascii="宋体" w:hAnsi="宋体" w:eastAsia="宋体" w:cs="Times New Roman"/>
          <w:color w:val="000000"/>
          <w:sz w:val="24"/>
          <w:szCs w:val="24"/>
        </w:rPr>
        <w:t>断路器选型及品牌：</w:t>
      </w:r>
      <w:r>
        <w:rPr>
          <w:rFonts w:hint="eastAsia" w:ascii="Times New Roman" w:hAnsi="Times New Roman" w:eastAsia="宋体" w:cs="Times New Roman"/>
          <w:sz w:val="24"/>
          <w:szCs w:val="24"/>
        </w:rPr>
        <w:t>详见工程量</w:t>
      </w:r>
      <w:r>
        <w:rPr>
          <w:rFonts w:ascii="Times New Roman" w:hAnsi="Times New Roman" w:eastAsia="宋体" w:cs="Times New Roman"/>
          <w:sz w:val="24"/>
          <w:szCs w:val="24"/>
        </w:rPr>
        <w:t>清单</w:t>
      </w:r>
      <w:r>
        <w:rPr>
          <w:rFonts w:hint="eastAsia" w:ascii="Times New Roman" w:hAnsi="Times New Roman" w:eastAsia="宋体" w:cs="Times New Roman"/>
          <w:sz w:val="24"/>
          <w:szCs w:val="24"/>
        </w:rPr>
        <w:t>。</w:t>
      </w:r>
    </w:p>
    <w:p>
      <w:pPr>
        <w:spacing w:line="360" w:lineRule="auto"/>
        <w:ind w:left="632" w:leftChars="301" w:firstLine="360" w:firstLineChars="15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宋体" w:hAnsi="宋体" w:eastAsia="宋体" w:cs="Times New Roman"/>
          <w:sz w:val="24"/>
          <w:szCs w:val="24"/>
          <w:highlight w:val="yellow"/>
        </w:rPr>
        <w:t>但</w:t>
      </w:r>
      <w:r>
        <w:rPr>
          <w:rFonts w:hint="eastAsia" w:ascii="Times New Roman" w:hAnsi="Times New Roman" w:eastAsia="宋体" w:cs="Times New Roman"/>
          <w:sz w:val="24"/>
          <w:szCs w:val="24"/>
          <w:highlight w:val="yellow"/>
        </w:rPr>
        <w:t>图纸及清单与本技术要求不符之处，以本技术要求及当地供电部门审核通过的图纸为准</w:t>
      </w:r>
      <w:r>
        <w:rPr>
          <w:rFonts w:hint="eastAsia" w:ascii="Times New Roman" w:hAnsi="Times New Roman" w:eastAsia="宋体" w:cs="Times New Roman"/>
          <w:sz w:val="24"/>
          <w:szCs w:val="24"/>
          <w:lang w:eastAsia="zh-CN"/>
        </w:rPr>
        <w:t>）</w:t>
      </w:r>
    </w:p>
    <w:p>
      <w:pPr>
        <w:spacing w:line="360" w:lineRule="auto"/>
        <w:ind w:left="632" w:leftChars="301" w:firstLine="360" w:firstLineChars="150"/>
        <w:rPr>
          <w:rFonts w:ascii="Times New Roman" w:hAnsi="Times New Roman" w:eastAsia="宋体" w:cs="Times New Roman"/>
          <w:sz w:val="24"/>
          <w:szCs w:val="24"/>
        </w:rPr>
      </w:pPr>
    </w:p>
    <w:p>
      <w:pPr>
        <w:spacing w:line="360" w:lineRule="auto"/>
        <w:ind w:left="632" w:leftChars="301" w:firstLine="360" w:firstLineChars="150"/>
        <w:rPr>
          <w:rFonts w:ascii="Times New Roman" w:hAnsi="Times New Roman" w:eastAsia="宋体" w:cs="Times New Roman"/>
          <w:sz w:val="24"/>
          <w:szCs w:val="24"/>
        </w:rPr>
      </w:pPr>
      <w:r>
        <w:rPr>
          <w:rFonts w:hint="eastAsia" w:ascii="Times New Roman" w:hAnsi="Times New Roman" w:eastAsia="宋体" w:cs="Times New Roman"/>
          <w:sz w:val="24"/>
          <w:szCs w:val="24"/>
        </w:rPr>
        <w:t>低压柜主进线柜和母联柜开关选用框架式开关，框架开关脱扣器采用四段式保护；</w:t>
      </w:r>
      <w:r>
        <w:rPr>
          <w:rFonts w:hint="eastAsia" w:ascii="Times New Roman" w:hAnsi="宋体" w:eastAsia="宋体" w:cs="Times New Roman"/>
          <w:sz w:val="24"/>
          <w:szCs w:val="24"/>
        </w:rPr>
        <w:t>框架断路器须选用抽出式；</w:t>
      </w:r>
    </w:p>
    <w:p>
      <w:pPr>
        <w:spacing w:line="360" w:lineRule="auto"/>
        <w:ind w:left="632" w:leftChars="301" w:firstLine="360" w:firstLineChars="150"/>
        <w:rPr>
          <w:rFonts w:ascii="Times New Roman" w:hAnsi="Times New Roman" w:eastAsia="宋体" w:cs="Times New Roman"/>
          <w:sz w:val="24"/>
          <w:szCs w:val="24"/>
        </w:rPr>
      </w:pPr>
      <w:r>
        <w:rPr>
          <w:rFonts w:hint="eastAsia" w:ascii="Times New Roman" w:hAnsi="宋体" w:eastAsia="宋体" w:cs="Times New Roman"/>
          <w:sz w:val="24"/>
          <w:szCs w:val="24"/>
        </w:rPr>
        <w:t xml:space="preserve">框架断路器的性能参数需满足下表： </w:t>
      </w:r>
    </w:p>
    <w:tbl>
      <w:tblPr>
        <w:tblStyle w:val="5"/>
        <w:tblW w:w="0" w:type="auto"/>
        <w:tblInd w:w="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50"/>
        <w:gridCol w:w="3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3450"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参数</w:t>
            </w:r>
          </w:p>
        </w:tc>
        <w:tc>
          <w:tcPr>
            <w:tcW w:w="3955"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1</w:t>
            </w:r>
          </w:p>
        </w:tc>
        <w:tc>
          <w:tcPr>
            <w:tcW w:w="3450"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极限分断电流 （ </w:t>
            </w:r>
            <w:r>
              <w:rPr>
                <w:rFonts w:ascii="Times New Roman" w:hAnsi="Times New Roman" w:eastAsia="宋体" w:cs="Times New Roman"/>
                <w:sz w:val="24"/>
                <w:szCs w:val="24"/>
              </w:rPr>
              <w:t>Icu</w:t>
            </w:r>
            <w:r>
              <w:rPr>
                <w:rFonts w:hint="eastAsia" w:ascii="Times New Roman" w:hAnsi="Times New Roman" w:eastAsia="宋体" w:cs="Times New Roman"/>
                <w:sz w:val="24"/>
                <w:szCs w:val="24"/>
              </w:rPr>
              <w:t xml:space="preserve"> ） (</w:t>
            </w:r>
            <w:r>
              <w:rPr>
                <w:rFonts w:ascii="Times New Roman" w:hAnsi="Times New Roman" w:eastAsia="宋体" w:cs="Times New Roman"/>
                <w:sz w:val="24"/>
                <w:szCs w:val="24"/>
              </w:rPr>
              <w:t>690</w:t>
            </w:r>
            <w:r>
              <w:rPr>
                <w:rFonts w:hint="eastAsia" w:ascii="Times New Roman" w:hAnsi="Times New Roman" w:eastAsia="宋体" w:cs="Times New Roman"/>
                <w:sz w:val="24"/>
                <w:szCs w:val="24"/>
              </w:rPr>
              <w:t>V）</w:t>
            </w:r>
          </w:p>
        </w:tc>
        <w:tc>
          <w:tcPr>
            <w:tcW w:w="3955" w:type="dxa"/>
          </w:tcPr>
          <w:p>
            <w:pPr>
              <w:spacing w:before="62" w:beforeLines="20" w:after="62" w:afterLines="20"/>
              <w:jc w:val="center"/>
              <w:outlineLvl w:val="0"/>
              <w:rPr>
                <w:rFonts w:ascii="Times New Roman" w:hAnsi="Times New Roman" w:eastAsia="宋体" w:cs="Times New Roman"/>
                <w:b/>
                <w:sz w:val="24"/>
                <w:szCs w:val="24"/>
              </w:rPr>
            </w:pPr>
            <w:r>
              <w:rPr>
                <w:rFonts w:ascii="Times New Roman" w:hAnsi="Times New Roman" w:eastAsia="宋体" w:cs="Times New Roman"/>
                <w:sz w:val="24"/>
                <w:szCs w:val="24"/>
              </w:rPr>
              <w:t>Icu</w:t>
            </w:r>
            <w:r>
              <w:rPr>
                <w:rFonts w:ascii="宋体" w:hAnsi="宋体" w:eastAsia="宋体" w:cs="Times New Roman"/>
                <w:sz w:val="24"/>
                <w:szCs w:val="24"/>
              </w:rPr>
              <w:t>≥</w:t>
            </w:r>
            <w:r>
              <w:rPr>
                <w:rFonts w:ascii="Times New Roman" w:hAnsi="Times New Roman" w:eastAsia="宋体" w:cs="Times New Roman"/>
                <w:sz w:val="24"/>
                <w:szCs w:val="24"/>
              </w:rPr>
              <w:t>65KA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9"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2</w:t>
            </w:r>
          </w:p>
        </w:tc>
        <w:tc>
          <w:tcPr>
            <w:tcW w:w="3450"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短时耐受电流</w:t>
            </w:r>
            <w:r>
              <w:rPr>
                <w:rFonts w:ascii="Times New Roman" w:hAnsi="Times New Roman" w:eastAsia="宋体" w:cs="Times New Roman"/>
                <w:sz w:val="24"/>
                <w:szCs w:val="24"/>
              </w:rPr>
              <w:t>Icw</w:t>
            </w:r>
          </w:p>
        </w:tc>
        <w:tc>
          <w:tcPr>
            <w:tcW w:w="3955" w:type="dxa"/>
            <w:vAlign w:val="center"/>
          </w:tcPr>
          <w:p>
            <w:pPr>
              <w:spacing w:before="31" w:beforeLines="10" w:after="31" w:afterLines="10"/>
              <w:jc w:val="center"/>
              <w:rPr>
                <w:rFonts w:ascii="Times New Roman" w:hAnsi="Times New Roman" w:eastAsia="宋体" w:cs="Times New Roman"/>
                <w:sz w:val="24"/>
                <w:szCs w:val="24"/>
              </w:rPr>
            </w:pPr>
            <w:r>
              <w:rPr>
                <w:rFonts w:ascii="Times New Roman" w:hAnsi="Times New Roman" w:eastAsia="宋体" w:cs="Times New Roman"/>
                <w:sz w:val="24"/>
                <w:szCs w:val="24"/>
              </w:rPr>
              <w:t>Icw(1s)</w:t>
            </w:r>
            <w:r>
              <w:rPr>
                <w:rFonts w:ascii="宋体" w:hAnsi="宋体" w:eastAsia="宋体" w:cs="Times New Roman"/>
                <w:sz w:val="24"/>
                <w:szCs w:val="24"/>
              </w:rPr>
              <w:t>≥</w:t>
            </w:r>
            <w:r>
              <w:rPr>
                <w:rFonts w:ascii="Times New Roman" w:hAnsi="Times New Roman" w:eastAsia="宋体" w:cs="Times New Roman"/>
                <w:sz w:val="24"/>
                <w:szCs w:val="24"/>
              </w:rPr>
              <w:t>65kA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62" w:beforeLines="20" w:after="62" w:afterLines="20"/>
              <w:jc w:val="center"/>
              <w:outlineLvl w:val="0"/>
              <w:rPr>
                <w:rFonts w:ascii="Times New Roman" w:hAnsi="Times New Roman" w:eastAsia="宋体" w:cs="Times New Roman"/>
                <w:b/>
                <w:sz w:val="24"/>
                <w:szCs w:val="24"/>
              </w:rPr>
            </w:pPr>
          </w:p>
        </w:tc>
        <w:tc>
          <w:tcPr>
            <w:tcW w:w="3450"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出线及联络保护</w:t>
            </w:r>
          </w:p>
        </w:tc>
        <w:tc>
          <w:tcPr>
            <w:tcW w:w="3955"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三段保护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3</w:t>
            </w:r>
          </w:p>
        </w:tc>
        <w:tc>
          <w:tcPr>
            <w:tcW w:w="3450"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进线保护</w:t>
            </w:r>
          </w:p>
        </w:tc>
        <w:tc>
          <w:tcPr>
            <w:tcW w:w="3955"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四段保护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4</w:t>
            </w:r>
          </w:p>
        </w:tc>
        <w:tc>
          <w:tcPr>
            <w:tcW w:w="3450"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操作方式</w:t>
            </w:r>
          </w:p>
        </w:tc>
        <w:tc>
          <w:tcPr>
            <w:tcW w:w="3955"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电动操作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62" w:beforeLines="20" w:after="62" w:afterLines="20"/>
              <w:jc w:val="center"/>
              <w:outlineLvl w:val="0"/>
              <w:rPr>
                <w:rFonts w:ascii="Times New Roman" w:hAnsi="Times New Roman" w:eastAsia="宋体" w:cs="Times New Roman"/>
                <w:b/>
                <w:sz w:val="24"/>
                <w:szCs w:val="24"/>
              </w:rPr>
            </w:pPr>
            <w:r>
              <w:rPr>
                <w:rFonts w:hint="eastAsia" w:ascii="Times New Roman" w:hAnsi="Times New Roman" w:eastAsia="宋体" w:cs="Times New Roman"/>
                <w:b/>
                <w:sz w:val="24"/>
                <w:szCs w:val="24"/>
              </w:rPr>
              <w:t>5</w:t>
            </w:r>
          </w:p>
        </w:tc>
        <w:tc>
          <w:tcPr>
            <w:tcW w:w="3450"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其它</w:t>
            </w:r>
          </w:p>
        </w:tc>
        <w:tc>
          <w:tcPr>
            <w:tcW w:w="3955" w:type="dxa"/>
          </w:tcPr>
          <w:p>
            <w:pPr>
              <w:spacing w:before="62" w:beforeLines="20" w:after="62" w:afterLines="20"/>
              <w:jc w:val="center"/>
              <w:outlineLvl w:val="0"/>
              <w:rPr>
                <w:rFonts w:ascii="Times New Roman" w:hAnsi="Times New Roman" w:eastAsia="宋体" w:cs="Times New Roman"/>
                <w:sz w:val="24"/>
                <w:szCs w:val="24"/>
              </w:rPr>
            </w:pPr>
            <w:r>
              <w:rPr>
                <w:rFonts w:hint="eastAsia" w:ascii="Times New Roman" w:hAnsi="Times New Roman" w:eastAsia="宋体" w:cs="Times New Roman"/>
                <w:sz w:val="24"/>
                <w:szCs w:val="24"/>
              </w:rPr>
              <w:t>控制单元带液晶显示器并显示电流、电压、功率等电参数</w:t>
            </w:r>
          </w:p>
        </w:tc>
      </w:tr>
    </w:tbl>
    <w:p>
      <w:pPr>
        <w:spacing w:line="360" w:lineRule="auto"/>
        <w:ind w:left="632" w:leftChars="301" w:firstLine="360" w:firstLineChars="150"/>
        <w:rPr>
          <w:rFonts w:ascii="Times New Roman" w:hAnsi="Times New Roman" w:eastAsia="宋体" w:cs="Times New Roman"/>
          <w:sz w:val="24"/>
          <w:szCs w:val="24"/>
        </w:rPr>
      </w:pPr>
    </w:p>
    <w:p>
      <w:pPr>
        <w:spacing w:line="360" w:lineRule="auto"/>
        <w:ind w:left="1077" w:leftChars="399" w:hanging="240" w:hangingChars="100"/>
        <w:rPr>
          <w:rFonts w:ascii="宋体" w:hAnsi="宋体" w:eastAsia="宋体" w:cs="Times New Roman"/>
          <w:sz w:val="24"/>
          <w:szCs w:val="21"/>
        </w:rPr>
      </w:pPr>
      <w:r>
        <w:rPr>
          <w:rFonts w:hint="eastAsia" w:ascii="宋体" w:hAnsi="宋体" w:eastAsia="宋体" w:cs="Times New Roman"/>
          <w:sz w:val="24"/>
          <w:szCs w:val="21"/>
        </w:rPr>
        <w:t>MCCB&lt;400A  用热磁式脱扣器，MCCB&gt;=400A  用电子式脱扣器。</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4.4、双电源及</w:t>
      </w:r>
      <w:r>
        <w:rPr>
          <w:rFonts w:ascii="Times New Roman" w:hAnsi="Times New Roman" w:eastAsia="宋体" w:cs="Times New Roman"/>
          <w:sz w:val="24"/>
          <w:szCs w:val="24"/>
        </w:rPr>
        <w:t>仪表要求</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4</w:t>
      </w:r>
      <w:r>
        <w:rPr>
          <w:rFonts w:hint="eastAsia" w:ascii="宋体" w:hAnsi="宋体" w:eastAsia="宋体" w:cs="Times New Roman"/>
          <w:sz w:val="24"/>
          <w:szCs w:val="24"/>
        </w:rPr>
        <w:t>.1双电源选型按图纸及供电局审图意见书，品牌</w:t>
      </w:r>
      <w:r>
        <w:rPr>
          <w:rFonts w:hint="eastAsia" w:ascii="Times New Roman" w:hAnsi="Times New Roman" w:eastAsia="宋体" w:cs="Times New Roman"/>
          <w:sz w:val="24"/>
          <w:szCs w:val="24"/>
        </w:rPr>
        <w:t>详见工程量</w:t>
      </w:r>
      <w:r>
        <w:rPr>
          <w:rFonts w:ascii="Times New Roman" w:hAnsi="Times New Roman" w:eastAsia="宋体" w:cs="Times New Roman"/>
          <w:sz w:val="24"/>
          <w:szCs w:val="24"/>
        </w:rPr>
        <w:t>清单</w:t>
      </w:r>
      <w:r>
        <w:rPr>
          <w:rFonts w:hint="eastAsia" w:ascii="宋体" w:hAnsi="宋体" w:eastAsia="宋体" w:cs="Times New Roman"/>
          <w:sz w:val="24"/>
          <w:szCs w:val="24"/>
        </w:rPr>
        <w:t>。</w:t>
      </w:r>
      <w:r>
        <w:rPr>
          <w:rFonts w:ascii="Times New Roman" w:hAnsi="Times New Roman" w:eastAsia="宋体" w:cs="Times New Roman"/>
          <w:sz w:val="24"/>
          <w:szCs w:val="24"/>
        </w:rPr>
        <w:t>计量用</w:t>
      </w:r>
      <w:r>
        <w:rPr>
          <w:rFonts w:hint="eastAsia" w:ascii="Times New Roman" w:hAnsi="Times New Roman" w:eastAsia="宋体" w:cs="Times New Roman"/>
          <w:sz w:val="24"/>
          <w:szCs w:val="24"/>
        </w:rPr>
        <w:t>表</w:t>
      </w:r>
      <w:r>
        <w:rPr>
          <w:rFonts w:ascii="Times New Roman" w:hAnsi="Times New Roman" w:eastAsia="宋体" w:cs="Times New Roman"/>
          <w:sz w:val="24"/>
          <w:szCs w:val="24"/>
        </w:rPr>
        <w:t>要符合项目所在地</w:t>
      </w:r>
      <w:r>
        <w:rPr>
          <w:rFonts w:hint="eastAsia" w:ascii="Times New Roman" w:hAnsi="Times New Roman" w:eastAsia="宋体" w:cs="Times New Roman"/>
          <w:sz w:val="24"/>
          <w:szCs w:val="24"/>
        </w:rPr>
        <w:t>市</w:t>
      </w:r>
      <w:r>
        <w:rPr>
          <w:rFonts w:ascii="Times New Roman" w:hAnsi="Times New Roman" w:eastAsia="宋体" w:cs="Times New Roman"/>
          <w:sz w:val="24"/>
          <w:szCs w:val="24"/>
        </w:rPr>
        <w:t>供电局要求。</w:t>
      </w:r>
    </w:p>
    <w:p>
      <w:pPr>
        <w:spacing w:line="360" w:lineRule="auto"/>
        <w:ind w:left="1320" w:hanging="1320" w:hangingChars="55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4</w:t>
      </w:r>
      <w:r>
        <w:rPr>
          <w:rFonts w:hint="eastAsia" w:ascii="宋体" w:hAnsi="宋体" w:eastAsia="宋体" w:cs="Times New Roman"/>
          <w:sz w:val="24"/>
          <w:szCs w:val="24"/>
        </w:rPr>
        <w:t>.</w:t>
      </w:r>
      <w:r>
        <w:rPr>
          <w:rFonts w:hint="eastAsia" w:ascii="Times New Roman" w:hAnsi="Times New Roman" w:eastAsia="宋体" w:cs="Times New Roman"/>
          <w:sz w:val="24"/>
          <w:szCs w:val="24"/>
        </w:rPr>
        <w:t>5、电容补偿柜</w:t>
      </w:r>
    </w:p>
    <w:p>
      <w:pPr>
        <w:spacing w:line="360" w:lineRule="auto"/>
        <w:ind w:left="1320" w:hanging="1320" w:hangingChars="550"/>
        <w:rPr>
          <w:rFonts w:ascii="宋体" w:hAnsi="宋体"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5</w:t>
      </w:r>
      <w:r>
        <w:rPr>
          <w:rFonts w:hint="eastAsia" w:ascii="宋体" w:hAnsi="宋体" w:eastAsia="宋体" w:cs="Times New Roman"/>
          <w:sz w:val="24"/>
          <w:szCs w:val="24"/>
        </w:rPr>
        <w:t>.1电容补偿柜有过电压、过电流、短路保护。</w:t>
      </w:r>
      <w:r>
        <w:rPr>
          <w:rFonts w:ascii="Times New Roman" w:hAnsi="宋体" w:eastAsia="宋体" w:cs="Times New Roman"/>
          <w:sz w:val="24"/>
          <w:szCs w:val="24"/>
        </w:rPr>
        <w:t>低压电容补偿柜采用自动分步补偿电容的方式</w:t>
      </w:r>
      <w:r>
        <w:rPr>
          <w:rFonts w:hint="eastAsia" w:ascii="Times New Roman" w:hAnsi="宋体" w:eastAsia="宋体" w:cs="Times New Roman"/>
          <w:sz w:val="24"/>
          <w:szCs w:val="24"/>
        </w:rPr>
        <w:t>，补偿无功同时，具备消谐功能。</w:t>
      </w:r>
      <w:r>
        <w:rPr>
          <w:rFonts w:ascii="Times New Roman" w:hAnsi="宋体" w:eastAsia="宋体" w:cs="Times New Roman"/>
          <w:sz w:val="24"/>
          <w:szCs w:val="24"/>
        </w:rPr>
        <w:t>其柜体结构与低压开关柜结构相同，柜上设自动补偿装置，与低压开关柜并排安装时，柜体尺寸、颜色应与低压柜一致</w:t>
      </w:r>
      <w:r>
        <w:rPr>
          <w:rFonts w:hint="eastAsia" w:ascii="Times New Roman" w:hAnsi="宋体" w:eastAsia="宋体" w:cs="Times New Roman"/>
          <w:sz w:val="24"/>
          <w:szCs w:val="24"/>
        </w:rPr>
        <w:t>。</w:t>
      </w:r>
    </w:p>
    <w:p>
      <w:pPr>
        <w:spacing w:line="360" w:lineRule="auto"/>
        <w:ind w:left="1320" w:hanging="1320" w:hangingChars="550"/>
        <w:rPr>
          <w:rFonts w:ascii="宋体" w:hAnsi="宋体" w:eastAsia="宋体" w:cs="Times New Roman"/>
          <w:sz w:val="24"/>
          <w:szCs w:val="24"/>
        </w:rPr>
      </w:pPr>
      <w:r>
        <w:rPr>
          <w:rFonts w:hint="eastAsia" w:ascii="宋体" w:hAnsi="宋体" w:eastAsia="宋体" w:cs="Times New Roman"/>
          <w:sz w:val="24"/>
          <w:szCs w:val="24"/>
        </w:rPr>
        <w:t xml:space="preserve">      4.</w:t>
      </w:r>
      <w:r>
        <w:rPr>
          <w:rFonts w:hint="eastAsia" w:ascii="Times New Roman" w:hAnsi="Times New Roman" w:eastAsia="宋体" w:cs="Times New Roman"/>
          <w:sz w:val="24"/>
          <w:szCs w:val="24"/>
        </w:rPr>
        <w:t>5</w:t>
      </w:r>
      <w:r>
        <w:rPr>
          <w:rFonts w:hint="eastAsia" w:ascii="宋体" w:hAnsi="宋体" w:eastAsia="宋体" w:cs="Times New Roman"/>
          <w:sz w:val="24"/>
          <w:szCs w:val="24"/>
        </w:rPr>
        <w:t>.2电容组能实现手动及自动投入，采用微电脑自动控制补偿仪，具有功率因数和电流显示。</w:t>
      </w:r>
    </w:p>
    <w:p>
      <w:pPr>
        <w:spacing w:line="360" w:lineRule="auto"/>
        <w:ind w:left="1320" w:hanging="1320" w:hangingChars="550"/>
        <w:rPr>
          <w:rFonts w:ascii="宋体" w:hAnsi="宋体" w:eastAsia="宋体" w:cs="Times New Roman"/>
          <w:sz w:val="24"/>
          <w:szCs w:val="24"/>
        </w:rPr>
      </w:pPr>
      <w:r>
        <w:rPr>
          <w:rFonts w:hint="eastAsia" w:ascii="Times New Roman" w:hAnsi="Times New Roman" w:eastAsia="宋体" w:cs="Times New Roman"/>
          <w:sz w:val="24"/>
          <w:szCs w:val="24"/>
        </w:rPr>
        <w:t xml:space="preserve">      </w:t>
      </w:r>
      <w:r>
        <w:rPr>
          <w:rFonts w:hint="eastAsia" w:ascii="宋体" w:hAnsi="宋体" w:eastAsia="宋体" w:cs="Times New Roman"/>
          <w:sz w:val="24"/>
          <w:szCs w:val="24"/>
        </w:rPr>
        <w:t>4.</w:t>
      </w:r>
      <w:r>
        <w:rPr>
          <w:rFonts w:hint="eastAsia" w:ascii="Times New Roman" w:hAnsi="Times New Roman" w:eastAsia="宋体" w:cs="Times New Roman"/>
          <w:sz w:val="24"/>
          <w:szCs w:val="24"/>
        </w:rPr>
        <w:t>5</w:t>
      </w:r>
      <w:r>
        <w:rPr>
          <w:rFonts w:hint="eastAsia" w:ascii="宋体" w:hAnsi="宋体" w:eastAsia="宋体" w:cs="Times New Roman"/>
          <w:sz w:val="24"/>
          <w:szCs w:val="24"/>
        </w:rPr>
        <w:t>.3电容器采用有自愈性能的干式电容器。</w:t>
      </w:r>
    </w:p>
    <w:p>
      <w:pPr>
        <w:spacing w:line="360" w:lineRule="auto"/>
        <w:ind w:left="1320" w:hanging="1320" w:hangingChars="550"/>
        <w:rPr>
          <w:rFonts w:ascii="Times New Roman" w:hAnsi="Times New Roman" w:eastAsia="宋体" w:cs="Times New Roman"/>
          <w:sz w:val="24"/>
          <w:szCs w:val="24"/>
        </w:rPr>
      </w:pPr>
      <w:r>
        <w:rPr>
          <w:rFonts w:hint="eastAsia" w:ascii="宋体" w:hAnsi="宋体" w:eastAsia="宋体" w:cs="Times New Roman"/>
          <w:sz w:val="24"/>
          <w:szCs w:val="24"/>
        </w:rPr>
        <w:t xml:space="preserve">      4.</w:t>
      </w:r>
      <w:r>
        <w:rPr>
          <w:rFonts w:hint="eastAsia" w:ascii="Times New Roman" w:hAnsi="Times New Roman" w:eastAsia="宋体" w:cs="Times New Roman"/>
          <w:sz w:val="24"/>
          <w:szCs w:val="24"/>
        </w:rPr>
        <w:t>5</w:t>
      </w:r>
      <w:r>
        <w:rPr>
          <w:rFonts w:hint="eastAsia" w:ascii="宋体" w:hAnsi="宋体" w:eastAsia="宋体" w:cs="Times New Roman"/>
          <w:sz w:val="24"/>
          <w:szCs w:val="24"/>
        </w:rPr>
        <w:t>.4电容器及电容器柜内应保</w:t>
      </w:r>
      <w:r>
        <w:rPr>
          <w:rFonts w:hint="eastAsia" w:ascii="Times New Roman" w:hAnsi="Times New Roman" w:eastAsia="仿宋体" w:cs="Times New Roman"/>
          <w:kern w:val="0"/>
          <w:sz w:val="24"/>
          <w:szCs w:val="24"/>
        </w:rPr>
        <w:t>证系统的可靠性与稳定性，</w:t>
      </w:r>
      <w:r>
        <w:rPr>
          <w:rFonts w:hint="eastAsia" w:ascii="宋体" w:hAnsi="宋体" w:eastAsia="宋体" w:cs="Times New Roman"/>
          <w:sz w:val="24"/>
          <w:szCs w:val="24"/>
        </w:rPr>
        <w:t>必须使用专用的滤波电容器、调谐电抗器</w:t>
      </w:r>
      <w:r>
        <w:rPr>
          <w:rFonts w:hint="eastAsia" w:ascii="Times New Roman" w:hAnsi="Times New Roman" w:eastAsia="仿宋体" w:cs="Times New Roman"/>
          <w:kern w:val="0"/>
          <w:sz w:val="24"/>
          <w:szCs w:val="24"/>
        </w:rPr>
        <w:t>、电容器接触器以及功率因数控制器，且以上器件必须为同一厂家产品。</w:t>
      </w:r>
    </w:p>
    <w:p>
      <w:pPr>
        <w:spacing w:line="360" w:lineRule="auto"/>
        <w:ind w:left="1079" w:leftChars="171" w:hanging="720" w:hangingChars="300"/>
        <w:rPr>
          <w:rFonts w:ascii="宋体" w:hAnsi="宋体" w:eastAsia="宋体" w:cs="Times New Roman"/>
          <w:sz w:val="24"/>
          <w:szCs w:val="24"/>
        </w:rPr>
      </w:pPr>
      <w:r>
        <w:rPr>
          <w:rFonts w:hint="eastAsia" w:ascii="宋体" w:hAnsi="宋体" w:eastAsia="宋体" w:cs="Times New Roman"/>
          <w:sz w:val="24"/>
          <w:szCs w:val="24"/>
        </w:rPr>
        <w:t>5、</w:t>
      </w:r>
      <w:r>
        <w:rPr>
          <w:rFonts w:ascii="Times New Roman" w:hAnsi="Times New Roman" w:eastAsia="宋体" w:cs="Times New Roman"/>
          <w:sz w:val="24"/>
          <w:szCs w:val="24"/>
        </w:rPr>
        <w:t>其它</w:t>
      </w:r>
      <w:r>
        <w:rPr>
          <w:rFonts w:hint="eastAsia" w:ascii="宋体" w:hAnsi="宋体" w:eastAsia="宋体" w:cs="Times New Roman"/>
          <w:sz w:val="24"/>
          <w:szCs w:val="24"/>
        </w:rPr>
        <w:t>未定品牌电器元件</w:t>
      </w:r>
      <w:r>
        <w:rPr>
          <w:rFonts w:ascii="Times New Roman" w:hAnsi="Times New Roman" w:eastAsia="宋体" w:cs="Times New Roman"/>
          <w:sz w:val="24"/>
          <w:szCs w:val="24"/>
        </w:rPr>
        <w:t>选用国优产品</w:t>
      </w:r>
      <w:r>
        <w:rPr>
          <w:rFonts w:hint="eastAsia" w:ascii="宋体" w:hAnsi="宋体" w:eastAsia="宋体" w:cs="Times New Roman"/>
          <w:sz w:val="24"/>
          <w:szCs w:val="24"/>
        </w:rPr>
        <w:t>，</w:t>
      </w:r>
      <w:r>
        <w:rPr>
          <w:rFonts w:hint="eastAsia" w:ascii="宋体" w:hAnsi="宋体" w:eastAsia="宋体" w:cs="Times New Roman"/>
          <w:color w:val="000000"/>
          <w:sz w:val="24"/>
          <w:szCs w:val="21"/>
        </w:rPr>
        <w:t>并以材料质量证明书为准。</w:t>
      </w:r>
    </w:p>
    <w:p>
      <w:pPr>
        <w:spacing w:line="360" w:lineRule="auto"/>
        <w:ind w:left="1108" w:leftChars="185" w:hanging="720" w:hangingChars="300"/>
        <w:rPr>
          <w:rFonts w:ascii="宋体" w:hAnsi="宋体" w:eastAsia="宋体" w:cs="Times New Roman"/>
          <w:sz w:val="24"/>
          <w:szCs w:val="24"/>
        </w:rPr>
      </w:pPr>
      <w:r>
        <w:rPr>
          <w:rFonts w:hint="eastAsia" w:ascii="宋体" w:hAnsi="宋体" w:eastAsia="宋体" w:cs="Times New Roman"/>
          <w:sz w:val="24"/>
          <w:szCs w:val="24"/>
        </w:rPr>
        <w:t>6、低压柜进出线方式：电缆在柜顶上进上出，变配电室内采用梯式水平及竖向桥架敷设电缆。</w:t>
      </w:r>
    </w:p>
    <w:p>
      <w:pPr>
        <w:spacing w:line="360" w:lineRule="auto"/>
        <w:ind w:left="840" w:hanging="840" w:hangingChars="350"/>
        <w:rPr>
          <w:rFonts w:ascii="宋体" w:hAnsi="宋体" w:eastAsia="宋体" w:cs="Times New Roman"/>
          <w:sz w:val="24"/>
          <w:szCs w:val="24"/>
        </w:rPr>
      </w:pPr>
      <w:r>
        <w:rPr>
          <w:rFonts w:hint="eastAsia" w:ascii="宋体" w:hAnsi="宋体" w:eastAsia="宋体" w:cs="Times New Roman"/>
          <w:sz w:val="24"/>
          <w:szCs w:val="24"/>
        </w:rPr>
        <w:t xml:space="preserve">    7、电缆品牌：</w:t>
      </w:r>
      <w:r>
        <w:rPr>
          <w:rFonts w:hint="eastAsia" w:ascii="Times New Roman" w:hAnsi="Times New Roman" w:eastAsia="宋体" w:cs="Times New Roman"/>
          <w:sz w:val="24"/>
          <w:szCs w:val="24"/>
        </w:rPr>
        <w:t>详见工程量</w:t>
      </w:r>
      <w:r>
        <w:rPr>
          <w:rFonts w:ascii="Times New Roman" w:hAnsi="Times New Roman" w:eastAsia="宋体" w:cs="Times New Roman"/>
          <w:sz w:val="24"/>
          <w:szCs w:val="24"/>
        </w:rPr>
        <w:t>清单</w:t>
      </w:r>
      <w:r>
        <w:rPr>
          <w:rFonts w:hint="eastAsia" w:ascii="Times New Roman" w:hAnsi="Times New Roman" w:eastAsia="宋体" w:cs="Times New Roman"/>
          <w:sz w:val="24"/>
          <w:szCs w:val="24"/>
        </w:rPr>
        <w:t>。</w:t>
      </w:r>
      <w:r>
        <w:rPr>
          <w:rFonts w:hint="eastAsia" w:ascii="宋体" w:hAnsi="宋体" w:eastAsia="宋体" w:cs="Times New Roman"/>
          <w:color w:val="000000"/>
          <w:sz w:val="24"/>
          <w:szCs w:val="24"/>
        </w:rPr>
        <w:t>。</w:t>
      </w:r>
    </w:p>
    <w:p>
      <w:pPr>
        <w:spacing w:line="360" w:lineRule="auto"/>
        <w:ind w:left="840" w:hanging="840" w:hangingChars="350"/>
        <w:rPr>
          <w:rFonts w:ascii="宋体" w:hAnsi="宋体" w:eastAsia="宋体" w:cs="Times New Roman"/>
          <w:sz w:val="24"/>
          <w:szCs w:val="24"/>
        </w:rPr>
      </w:pPr>
      <w:r>
        <w:rPr>
          <w:rFonts w:hint="eastAsia" w:ascii="宋体" w:hAnsi="宋体" w:eastAsia="宋体" w:cs="Times New Roman"/>
          <w:sz w:val="24"/>
          <w:szCs w:val="24"/>
        </w:rPr>
        <w:t xml:space="preserve">    8、合同中所有设备、备品备件，除本合同中规定的技术参数和要求外</w:t>
      </w:r>
      <w:r>
        <w:rPr>
          <w:rFonts w:ascii="宋体" w:hAnsi="宋体" w:eastAsia="宋体" w:cs="Times New Roman"/>
          <w:sz w:val="24"/>
          <w:szCs w:val="24"/>
        </w:rPr>
        <w:t>,</w:t>
      </w:r>
      <w:r>
        <w:rPr>
          <w:rFonts w:hint="eastAsia" w:ascii="宋体" w:hAnsi="宋体" w:eastAsia="宋体" w:cs="Times New Roman"/>
          <w:sz w:val="24"/>
          <w:szCs w:val="24"/>
        </w:rPr>
        <w:t>还必须满足国家相关的最新规范及标准。</w:t>
      </w:r>
    </w:p>
    <w:p>
      <w:pPr>
        <w:numPr>
          <w:ilvl w:val="0"/>
          <w:numId w:val="1"/>
        </w:numPr>
        <w:spacing w:line="360" w:lineRule="auto"/>
        <w:rPr>
          <w:rFonts w:ascii="宋体" w:hAnsi="宋体" w:eastAsia="宋体" w:cs="Times New Roman"/>
          <w:sz w:val="24"/>
          <w:szCs w:val="24"/>
        </w:rPr>
      </w:pPr>
      <w:r>
        <w:rPr>
          <w:rFonts w:hint="eastAsia" w:ascii="宋体" w:hAnsi="宋体" w:eastAsia="宋体" w:cs="Times New Roman"/>
          <w:sz w:val="24"/>
          <w:szCs w:val="24"/>
        </w:rPr>
        <w:t>所有设备材料必须是全新原厂正品；材料进场须提供厂家针对本项目的供货证明及供货数量清单，否则不予进场及支付进度款项。甲方有权随时到生产现场核实设备生产情况及进度，乙方应无条件给予配合。如发现假冒产品，追究法律责任并处以十倍以上经济赔偿。</w:t>
      </w:r>
    </w:p>
    <w:p>
      <w:pPr>
        <w:spacing w:line="360" w:lineRule="auto"/>
        <w:ind w:left="721" w:leftChars="172" w:hanging="360" w:hangingChars="150"/>
        <w:rPr>
          <w:rFonts w:ascii="宋体" w:hAnsi="宋体" w:eastAsia="宋体" w:cs="Times New Roman"/>
          <w:sz w:val="24"/>
          <w:szCs w:val="24"/>
        </w:rPr>
      </w:pPr>
      <w:r>
        <w:rPr>
          <w:rFonts w:hint="eastAsia" w:ascii="宋体" w:hAnsi="宋体" w:eastAsia="宋体" w:cs="Times New Roman"/>
          <w:sz w:val="24"/>
          <w:szCs w:val="24"/>
        </w:rPr>
        <w:t>10、施工单位必须严格按照上述指定厂商及品牌进行供货，不得私自更改，凡不符合要求者均作违约处理。</w:t>
      </w:r>
    </w:p>
    <w:p>
      <w:pPr>
        <w:spacing w:line="360" w:lineRule="auto"/>
        <w:ind w:left="841" w:leftChars="172" w:hanging="480" w:hangingChars="200"/>
        <w:rPr>
          <w:rFonts w:ascii="宋体" w:hAnsi="宋体" w:eastAsia="宋体" w:cs="Times New Roman"/>
          <w:sz w:val="24"/>
          <w:szCs w:val="24"/>
        </w:rPr>
      </w:pPr>
      <w:r>
        <w:rPr>
          <w:rFonts w:hint="eastAsia" w:ascii="宋体" w:hAnsi="宋体" w:eastAsia="宋体" w:cs="Times New Roman"/>
          <w:sz w:val="24"/>
          <w:szCs w:val="24"/>
        </w:rPr>
        <w:t>11、保证所供设备必须完全符合项目所在地供电局的验收标准，否则相应损失由施工单位承担。</w:t>
      </w:r>
    </w:p>
    <w:p>
      <w:pPr>
        <w:spacing w:line="360" w:lineRule="auto"/>
        <w:ind w:left="841" w:leftChars="172" w:hanging="480" w:hangingChars="200"/>
        <w:rPr>
          <w:rFonts w:ascii="宋体" w:hAnsi="宋体" w:eastAsia="宋体" w:cs="Times New Roman"/>
          <w:sz w:val="24"/>
          <w:szCs w:val="24"/>
        </w:rPr>
      </w:pPr>
      <w:r>
        <w:rPr>
          <w:rFonts w:hint="eastAsia" w:ascii="宋体" w:hAnsi="宋体" w:eastAsia="宋体" w:cs="Times New Roman"/>
          <w:sz w:val="24"/>
          <w:szCs w:val="24"/>
        </w:rPr>
        <w:t>12、可视化验收：</w:t>
      </w:r>
    </w:p>
    <w:p>
      <w:pPr>
        <w:spacing w:line="360" w:lineRule="auto"/>
        <w:ind w:left="841" w:leftChars="172" w:hanging="480" w:hangingChars="200"/>
        <w:rPr>
          <w:rFonts w:ascii="宋体" w:hAnsi="宋体" w:eastAsia="宋体" w:cs="Times New Roman"/>
          <w:sz w:val="24"/>
          <w:szCs w:val="24"/>
        </w:rPr>
      </w:pPr>
      <w:r>
        <w:rPr>
          <w:rFonts w:hint="eastAsia" w:ascii="宋体" w:hAnsi="宋体" w:eastAsia="宋体" w:cs="Times New Roman"/>
          <w:sz w:val="24"/>
          <w:szCs w:val="24"/>
        </w:rPr>
        <w:t xml:space="preserve">     </w:t>
      </w:r>
      <w:r>
        <w:rPr>
          <w:rFonts w:ascii="宋体" w:hAnsi="宋体" w:eastAsia="宋体" w:cs="Times New Roman"/>
          <w:sz w:val="24"/>
          <w:szCs w:val="24"/>
        </w:rPr>
        <w:t>A</w:t>
      </w:r>
      <w:r>
        <w:rPr>
          <w:rFonts w:hint="eastAsia" w:ascii="宋体" w:hAnsi="宋体" w:eastAsia="宋体" w:cs="Times New Roman"/>
          <w:sz w:val="24"/>
          <w:szCs w:val="24"/>
        </w:rPr>
        <w:t>、材料进场类：</w:t>
      </w:r>
    </w:p>
    <w:p>
      <w:pPr>
        <w:spacing w:line="360" w:lineRule="auto"/>
        <w:ind w:left="722" w:leftChars="344"/>
        <w:rPr>
          <w:rFonts w:ascii="宋体" w:hAnsi="宋体" w:eastAsia="宋体" w:cs="Times New Roman"/>
          <w:sz w:val="24"/>
          <w:szCs w:val="24"/>
        </w:rPr>
      </w:pPr>
      <w:r>
        <w:rPr>
          <w:rFonts w:hint="eastAsia" w:ascii="宋体" w:hAnsi="宋体" w:eastAsia="宋体" w:cs="Times New Roman"/>
          <w:sz w:val="24"/>
          <w:szCs w:val="24"/>
        </w:rPr>
        <w:t>验收以每次材料进场为一个批次，照片清晰带水印，需有设备材料进场报验单、测试的管径/厚度等数据、检验报告、合格证等照片；</w:t>
      </w:r>
    </w:p>
    <w:p>
      <w:pPr>
        <w:spacing w:line="360" w:lineRule="auto"/>
        <w:ind w:left="722" w:leftChars="344"/>
        <w:rPr>
          <w:rFonts w:ascii="宋体" w:hAnsi="宋体" w:eastAsia="宋体" w:cs="Times New Roman"/>
          <w:sz w:val="24"/>
          <w:szCs w:val="24"/>
        </w:rPr>
      </w:pPr>
      <w:r>
        <w:rPr>
          <w:rFonts w:hint="eastAsia" w:ascii="宋体" w:hAnsi="宋体" w:eastAsia="宋体" w:cs="Times New Roman"/>
          <w:sz w:val="24"/>
          <w:szCs w:val="24"/>
        </w:rPr>
        <w:t>可视化验收白板上注明进场材料设备型号、规格、数量、验收项、验收人员、验收意见及验收日期；</w:t>
      </w:r>
    </w:p>
    <w:p>
      <w:pPr>
        <w:spacing w:line="360" w:lineRule="auto"/>
        <w:ind w:left="722" w:leftChars="344"/>
        <w:rPr>
          <w:rFonts w:ascii="宋体" w:hAnsi="宋体" w:eastAsia="宋体" w:cs="Times New Roman"/>
          <w:sz w:val="24"/>
          <w:szCs w:val="24"/>
        </w:rPr>
      </w:pPr>
      <w:r>
        <w:rPr>
          <w:rFonts w:hint="eastAsia" w:ascii="宋体" w:hAnsi="宋体" w:eastAsia="宋体" w:cs="Times New Roman"/>
          <w:sz w:val="24"/>
          <w:szCs w:val="24"/>
        </w:rPr>
        <w:t>实测验收要求：桥架实测厚度/尺寸满足要求；电线电缆实测线径满足要求；线管实测管径、壁厚等满足要求；箱体厚度满足要求；</w:t>
      </w:r>
    </w:p>
    <w:p>
      <w:pPr>
        <w:spacing w:line="360" w:lineRule="auto"/>
        <w:ind w:left="722" w:leftChars="344"/>
        <w:rPr>
          <w:rFonts w:ascii="宋体" w:hAnsi="宋体" w:eastAsia="宋体" w:cs="Times New Roman"/>
          <w:sz w:val="24"/>
          <w:szCs w:val="24"/>
        </w:rPr>
      </w:pPr>
      <w:r>
        <w:rPr>
          <w:rFonts w:hint="eastAsia" w:ascii="宋体" w:hAnsi="宋体" w:eastAsia="宋体" w:cs="Times New Roman"/>
          <w:sz w:val="24"/>
          <w:szCs w:val="24"/>
        </w:rPr>
        <w:t>进场资料完整，品牌满足合同要求（每批次上传不少于3张照片）</w:t>
      </w:r>
    </w:p>
    <w:p>
      <w:pPr>
        <w:spacing w:line="360" w:lineRule="auto"/>
        <w:ind w:left="722" w:leftChars="344"/>
        <w:rPr>
          <w:rFonts w:ascii="宋体" w:hAnsi="宋体" w:eastAsia="宋体" w:cs="Times New Roman"/>
          <w:sz w:val="24"/>
          <w:szCs w:val="24"/>
        </w:rPr>
      </w:pPr>
      <w:r>
        <w:rPr>
          <w:rFonts w:hint="eastAsia" w:ascii="宋体" w:hAnsi="宋体" w:eastAsia="宋体" w:cs="Times New Roman"/>
          <w:sz w:val="24"/>
          <w:szCs w:val="24"/>
        </w:rPr>
        <w:t>B、机房、管井、车库管线完工验收：</w:t>
      </w:r>
    </w:p>
    <w:p>
      <w:pPr>
        <w:spacing w:line="360" w:lineRule="auto"/>
        <w:ind w:left="722" w:leftChars="344"/>
        <w:rPr>
          <w:rFonts w:ascii="宋体" w:hAnsi="宋体" w:eastAsia="宋体" w:cs="Times New Roman"/>
          <w:sz w:val="24"/>
          <w:szCs w:val="24"/>
        </w:rPr>
      </w:pPr>
      <w:r>
        <w:rPr>
          <w:rFonts w:hint="eastAsia" w:ascii="宋体" w:hAnsi="宋体" w:eastAsia="宋体" w:cs="Times New Roman"/>
          <w:sz w:val="24"/>
          <w:szCs w:val="24"/>
        </w:rPr>
        <w:t>验收批次根据现场施工标段或独立电房划分，照片清晰带水印，角度需能看到管井、机房、车库管线的支吊架设计间距、管道连接、管线排布顺序、样板安装全局；</w:t>
      </w:r>
    </w:p>
    <w:p>
      <w:pPr>
        <w:spacing w:line="360" w:lineRule="auto"/>
        <w:ind w:left="722" w:leftChars="344"/>
        <w:rPr>
          <w:rFonts w:ascii="宋体" w:hAnsi="宋体" w:eastAsia="宋体" w:cs="Times New Roman"/>
          <w:sz w:val="24"/>
          <w:szCs w:val="24"/>
        </w:rPr>
      </w:pPr>
      <w:r>
        <w:rPr>
          <w:rFonts w:hint="eastAsia" w:ascii="宋体" w:hAnsi="宋体" w:eastAsia="宋体" w:cs="Times New Roman"/>
          <w:sz w:val="24"/>
          <w:szCs w:val="24"/>
        </w:rPr>
        <w:t>可视化验收白板上注明：验收批次部位描述、验收内容、验收人员、验收意见（如可视化验收白板不能全部描述可在群里直接发微信描述，对于不合格需要整改项需整改合格上传群里销项后方可进行下一工序）及验收日期，每批次上传不少于3张照片。</w:t>
      </w:r>
    </w:p>
    <w:p>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   13、成品保护要求</w:t>
      </w:r>
      <w:r>
        <w:rPr>
          <w:rFonts w:hint="eastAsia" w:ascii="宋体" w:hAnsi="宋体" w:eastAsia="宋体" w:cs="Times New Roman"/>
          <w:color w:val="FF0000"/>
          <w:sz w:val="24"/>
          <w:szCs w:val="24"/>
        </w:rPr>
        <w:t>（详见国贸地产广州公司工程成品技术要求</w:t>
      </w:r>
      <w:r>
        <w:rPr>
          <w:rFonts w:ascii="宋体" w:hAnsi="宋体" w:eastAsia="宋体" w:cs="Times New Roman"/>
          <w:color w:val="FF0000"/>
          <w:sz w:val="24"/>
          <w:szCs w:val="24"/>
        </w:rPr>
        <w:t>）</w:t>
      </w:r>
      <w:r>
        <w:rPr>
          <w:rFonts w:hint="eastAsia" w:ascii="宋体" w:hAnsi="宋体" w:eastAsia="宋体" w:cs="Times New Roman"/>
          <w:sz w:val="24"/>
          <w:szCs w:val="24"/>
        </w:rPr>
        <w:t>：</w:t>
      </w:r>
    </w:p>
    <w:tbl>
      <w:tblPr>
        <w:tblStyle w:val="5"/>
        <w:tblW w:w="530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0"/>
        <w:gridCol w:w="4507"/>
        <w:gridCol w:w="46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restart"/>
          </w:tcPr>
          <w:p>
            <w:pPr>
              <w:ind w:left="113" w:right="113"/>
              <w:jc w:val="center"/>
              <w:rPr>
                <w:rFonts w:ascii="宋体" w:hAnsi="宋体" w:eastAsia="宋体" w:cs="宋体"/>
                <w:b/>
                <w:sz w:val="36"/>
                <w:szCs w:val="36"/>
              </w:rPr>
            </w:pPr>
            <w:r>
              <w:rPr>
                <w:rFonts w:ascii="宋体" w:hAnsi="宋体" w:eastAsia="宋体" w:cs="宋体"/>
                <w:b/>
                <w:sz w:val="36"/>
                <w:szCs w:val="36"/>
              </w:rPr>
              <w:t>成品保护</w:t>
            </w: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管路敷设完后注意成品保护，特别是在现浇混凝土结构施工中，电工配合土建施工关系密切</w:t>
            </w:r>
            <w:r>
              <w:rPr>
                <w:rFonts w:hint="eastAsia" w:ascii="宋体" w:hAnsi="宋体" w:eastAsia="宋体" w:cs="宋体"/>
                <w:sz w:val="24"/>
                <w:szCs w:val="24"/>
              </w:rPr>
              <w:t>。</w:t>
            </w:r>
            <w:r>
              <w:rPr>
                <w:rFonts w:ascii="宋体" w:hAnsi="宋体" w:eastAsia="宋体" w:cs="宋体"/>
                <w:sz w:val="24"/>
                <w:szCs w:val="24"/>
              </w:rPr>
              <w:t>浇灌混凝土时，应派人看护，以防止管路移位或受机械损伤</w:t>
            </w:r>
            <w:r>
              <w:rPr>
                <w:rFonts w:hint="eastAsia" w:ascii="宋体" w:hAnsi="宋体" w:eastAsia="宋体" w:cs="宋体"/>
                <w:sz w:val="24"/>
                <w:szCs w:val="24"/>
              </w:rPr>
              <w:t>。</w:t>
            </w:r>
            <w:r>
              <w:rPr>
                <w:rFonts w:ascii="宋体" w:hAnsi="宋体" w:eastAsia="宋体" w:cs="宋体"/>
                <w:sz w:val="24"/>
                <w:szCs w:val="24"/>
              </w:rPr>
              <w:t>在支模和拆模时，应注意保护管路不要移位、砸扁或踩坏等现象出现。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管内穿线使用高凳及其它工具时，应注意不得碰坏其它设备和门窗、墙面、地面等。不得污染设备和建筑物品，应保持周围环境清洁。在接、焊、包全部完成后，应将导线的接头盘入盒、箱内，并</w:t>
            </w:r>
            <w:r>
              <w:rPr>
                <w:rFonts w:hint="eastAsia" w:ascii="宋体" w:hAnsi="宋体" w:eastAsia="宋体" w:cs="宋体"/>
                <w:sz w:val="24"/>
                <w:szCs w:val="24"/>
              </w:rPr>
              <w:t>用硬纸盒、挤塑板或专用保护盖保护</w:t>
            </w:r>
            <w:r>
              <w:rPr>
                <w:rFonts w:ascii="宋体" w:hAnsi="宋体" w:eastAsia="宋体" w:cs="宋体"/>
                <w:sz w:val="24"/>
                <w:szCs w:val="24"/>
              </w:rPr>
              <w:t>严实，以防污染。同时应防止盒、箱内进水。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安装开关、插座、灯具时不得碰坏墙面，要保持墙面的清洁。开关、插座、灯具必须在土建吊顶、油漆、粉刷作业完成后进行安装，如遇特殊情况要再次进行喷浆时，必须对开关、插座、灯具加以遮盖，以防止污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安装箱（盘）面板，应注意保持墙面整洁。配电箱（盘）安装后应采取保护措施，避免碰坏、弄脏电具、仪表。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配电箱、柜、插接式母线槽和电缆桥架等有烤漆或喷塑面层的电气设备安装在抹灰工程完成之后进行，其安装完成后采取塑料膜包裹或彩条布</w:t>
            </w:r>
            <w:r>
              <w:rPr>
                <w:rFonts w:hint="eastAsia" w:ascii="宋体" w:hAnsi="宋体" w:eastAsia="宋体" w:cs="宋体"/>
                <w:sz w:val="24"/>
                <w:szCs w:val="24"/>
              </w:rPr>
              <w:t>覆</w:t>
            </w:r>
            <w:r>
              <w:rPr>
                <w:rFonts w:ascii="宋体" w:hAnsi="宋体" w:eastAsia="宋体" w:cs="宋体"/>
                <w:sz w:val="24"/>
                <w:szCs w:val="24"/>
              </w:rPr>
              <w:t>盖保护措施，防止污染。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机电安装施工时，严禁对结构造成破坏，对粗装修面上的变动应先征得技术人员的同意</w:t>
            </w:r>
            <w:r>
              <w:rPr>
                <w:rFonts w:hint="eastAsia" w:ascii="宋体" w:hAnsi="宋体" w:eastAsia="宋体" w:cs="宋体"/>
                <w:sz w:val="24"/>
                <w:szCs w:val="24"/>
              </w:rPr>
              <w:t>。</w:t>
            </w:r>
            <w:r>
              <w:rPr>
                <w:rFonts w:ascii="宋体" w:hAnsi="宋体" w:eastAsia="宋体" w:cs="宋体"/>
                <w:sz w:val="24"/>
                <w:szCs w:val="24"/>
              </w:rPr>
              <w:t>在精装修已完成</w:t>
            </w:r>
            <w:r>
              <w:rPr>
                <w:rFonts w:hint="eastAsia" w:ascii="宋体" w:hAnsi="宋体" w:eastAsia="宋体" w:cs="宋体"/>
                <w:sz w:val="24"/>
                <w:szCs w:val="24"/>
              </w:rPr>
              <w:t>阶段，</w:t>
            </w:r>
            <w:r>
              <w:rPr>
                <w:rFonts w:ascii="宋体" w:hAnsi="宋体" w:eastAsia="宋体" w:cs="宋体"/>
                <w:sz w:val="24"/>
                <w:szCs w:val="24"/>
              </w:rPr>
              <w:t>电气安装施工必须采取有效措施防止损坏地面、墙面、吊顶、门窗等。电缆敷设应在吊顶、精装修工程开始前进行，</w:t>
            </w:r>
            <w:r>
              <w:rPr>
                <w:rFonts w:hint="eastAsia" w:ascii="宋体" w:hAnsi="宋体" w:eastAsia="宋体" w:cs="宋体"/>
                <w:sz w:val="24"/>
                <w:szCs w:val="24"/>
              </w:rPr>
              <w:t>以</w:t>
            </w:r>
            <w:r>
              <w:rPr>
                <w:rFonts w:ascii="宋体" w:hAnsi="宋体" w:eastAsia="宋体" w:cs="宋体"/>
                <w:sz w:val="24"/>
                <w:szCs w:val="24"/>
              </w:rPr>
              <w:t>防止电缆施工对吊顶、装饰面层的破坏。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对于变配电设备、仪器仪表、成盘电缆等重要物资在进场后</w:t>
            </w:r>
            <w:r>
              <w:rPr>
                <w:rFonts w:hint="eastAsia" w:ascii="宋体" w:hAnsi="宋体" w:eastAsia="宋体" w:cs="宋体"/>
                <w:sz w:val="24"/>
                <w:szCs w:val="24"/>
              </w:rPr>
              <w:t>至</w:t>
            </w:r>
            <w:r>
              <w:rPr>
                <w:rFonts w:ascii="宋体" w:hAnsi="宋体" w:eastAsia="宋体" w:cs="宋体"/>
                <w:sz w:val="24"/>
                <w:szCs w:val="24"/>
              </w:rPr>
              <w:t>交工验收前应设专人看护</w:t>
            </w:r>
            <w:r>
              <w:rPr>
                <w:rFonts w:hint="eastAsia" w:ascii="宋体" w:hAnsi="宋体" w:eastAsia="宋体" w:cs="宋体"/>
                <w:sz w:val="24"/>
                <w:szCs w:val="24"/>
              </w:rPr>
              <w:t>。</w:t>
            </w:r>
            <w:r>
              <w:rPr>
                <w:rFonts w:ascii="宋体" w:hAnsi="宋体" w:eastAsia="宋体" w:cs="宋体"/>
                <w:sz w:val="24"/>
                <w:szCs w:val="24"/>
              </w:rPr>
              <w:t>配电柜安装好后，应将门窗关好、锁好，以防止设备损坏及丢失。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电缆施工过程中，应加强巡视，防止丢失或损坏。在电缆钢带上焊接地线时，电烙铁温度要适中，注意不要将电缆绝缘层烫伤。端部用彩条布保护防潮防污。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355" w:type="pct"/>
            <w:vMerge w:val="continue"/>
          </w:tcPr>
          <w:p>
            <w:pPr>
              <w:ind w:left="113" w:right="113"/>
              <w:jc w:val="center"/>
              <w:rPr>
                <w:rFonts w:ascii="宋体" w:hAnsi="宋体" w:eastAsia="宋体" w:cs="宋体"/>
                <w:b/>
                <w:sz w:val="36"/>
                <w:szCs w:val="36"/>
              </w:rPr>
            </w:pPr>
          </w:p>
        </w:tc>
        <w:tc>
          <w:tcPr>
            <w:tcW w:w="4645" w:type="pct"/>
            <w:gridSpan w:val="2"/>
          </w:tcPr>
          <w:p>
            <w:pPr>
              <w:spacing w:line="324" w:lineRule="auto"/>
              <w:rPr>
                <w:rFonts w:ascii="宋体" w:hAnsi="宋体" w:eastAsia="宋体" w:cs="宋体"/>
                <w:sz w:val="24"/>
                <w:szCs w:val="24"/>
              </w:rPr>
            </w:pPr>
            <w:r>
              <w:rPr>
                <w:rFonts w:ascii="宋体" w:hAnsi="宋体" w:eastAsia="宋体" w:cs="宋体"/>
                <w:sz w:val="24"/>
                <w:szCs w:val="24"/>
              </w:rPr>
              <w:t>避雷针安装完后下部围挡防护。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tcW w:w="355" w:type="pct"/>
            <w:vMerge w:val="restart"/>
            <w:vAlign w:val="center"/>
          </w:tcPr>
          <w:p>
            <w:pPr>
              <w:jc w:val="center"/>
              <w:rPr>
                <w:rFonts w:ascii="宋体" w:hAnsi="宋体" w:eastAsia="宋体" w:cs="宋体"/>
                <w:sz w:val="28"/>
                <w:szCs w:val="28"/>
              </w:rPr>
            </w:pPr>
            <w:r>
              <w:rPr>
                <w:rFonts w:hint="eastAsia" w:ascii="Times New Roman" w:hAnsi="Times New Roman" w:eastAsia="宋体" w:cs="Times New Roman"/>
                <w:b/>
                <w:sz w:val="28"/>
                <w:szCs w:val="28"/>
              </w:rPr>
              <w:t>做法图示</w:t>
            </w:r>
          </w:p>
        </w:tc>
        <w:tc>
          <w:tcPr>
            <w:tcW w:w="2287" w:type="pct"/>
          </w:tcPr>
          <w:p>
            <w:pPr>
              <w:widowControl/>
              <w:jc w:val="center"/>
              <w:rPr>
                <w:rFonts w:ascii="宋体" w:hAnsi="宋体" w:eastAsia="宋体" w:cs="宋体"/>
                <w:kern w:val="0"/>
                <w:sz w:val="24"/>
                <w:szCs w:val="24"/>
              </w:rPr>
            </w:pPr>
            <w:r>
              <w:rPr>
                <w:rFonts w:ascii="Times New Roman" w:hAnsi="Times New Roman" w:eastAsia="宋体" w:cs="Times New Roman"/>
                <w:sz w:val="28"/>
                <w:szCs w:val="24"/>
              </w:rPr>
              <w:drawing>
                <wp:inline distT="0" distB="0" distL="0" distR="0">
                  <wp:extent cx="2552700" cy="2179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l="3941" r="30048"/>
                          <a:stretch>
                            <a:fillRect/>
                          </a:stretch>
                        </pic:blipFill>
                        <pic:spPr>
                          <a:xfrm>
                            <a:off x="0" y="0"/>
                            <a:ext cx="2552700" cy="2179320"/>
                          </a:xfrm>
                          <a:prstGeom prst="rect">
                            <a:avLst/>
                          </a:prstGeom>
                          <a:noFill/>
                          <a:ln>
                            <a:noFill/>
                          </a:ln>
                        </pic:spPr>
                      </pic:pic>
                    </a:graphicData>
                  </a:graphic>
                </wp:inline>
              </w:drawing>
            </w:r>
          </w:p>
          <w:p>
            <w:pPr>
              <w:widowControl/>
              <w:jc w:val="center"/>
              <w:rPr>
                <w:rFonts w:ascii="宋体" w:hAnsi="宋体" w:eastAsia="宋体" w:cs="宋体"/>
                <w:kern w:val="0"/>
                <w:sz w:val="24"/>
                <w:szCs w:val="24"/>
              </w:rPr>
            </w:pPr>
            <w:r>
              <w:rPr>
                <w:rFonts w:ascii="宋体" w:hAnsi="宋体" w:eastAsia="宋体" w:cs="宋体"/>
                <w:sz w:val="28"/>
                <w:szCs w:val="21"/>
              </w:rPr>
              <w:t>线盒</w:t>
            </w:r>
            <w:r>
              <w:rPr>
                <w:rFonts w:hint="eastAsia" w:ascii="宋体" w:hAnsi="宋体" w:eastAsia="宋体" w:cs="宋体"/>
                <w:sz w:val="28"/>
                <w:szCs w:val="21"/>
              </w:rPr>
              <w:t>塞泡沫</w:t>
            </w:r>
            <w:r>
              <w:rPr>
                <w:rFonts w:ascii="宋体" w:hAnsi="宋体" w:eastAsia="宋体" w:cs="宋体"/>
                <w:spacing w:val="-5"/>
                <w:sz w:val="28"/>
                <w:szCs w:val="21"/>
              </w:rPr>
              <w:t>保</w:t>
            </w:r>
            <w:r>
              <w:rPr>
                <w:rFonts w:ascii="宋体" w:hAnsi="宋体" w:eastAsia="宋体" w:cs="宋体"/>
                <w:sz w:val="28"/>
                <w:szCs w:val="21"/>
              </w:rPr>
              <w:t>护</w:t>
            </w:r>
          </w:p>
        </w:tc>
        <w:tc>
          <w:tcPr>
            <w:tcW w:w="2358" w:type="pct"/>
          </w:tcPr>
          <w:p>
            <w:pPr>
              <w:spacing w:line="288" w:lineRule="auto"/>
              <w:rPr>
                <w:rFonts w:ascii="宋体" w:hAnsi="宋体" w:eastAsia="宋体" w:cs="宋体"/>
                <w:sz w:val="28"/>
                <w:szCs w:val="21"/>
              </w:rPr>
            </w:pPr>
            <w:r>
              <w:rPr>
                <w:rFonts w:ascii="Times New Roman" w:hAnsi="Times New Roman" w:eastAsia="宋体" w:cs="Times New Roman"/>
                <w:sz w:val="28"/>
                <w:szCs w:val="24"/>
              </w:rPr>
              <w:drawing>
                <wp:inline distT="0" distB="0" distL="0" distR="0">
                  <wp:extent cx="2788920" cy="2156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788920" cy="2156460"/>
                          </a:xfrm>
                          <a:prstGeom prst="rect">
                            <a:avLst/>
                          </a:prstGeom>
                          <a:noFill/>
                          <a:ln>
                            <a:noFill/>
                          </a:ln>
                        </pic:spPr>
                      </pic:pic>
                    </a:graphicData>
                  </a:graphic>
                </wp:inline>
              </w:drawing>
            </w:r>
          </w:p>
          <w:p>
            <w:pPr>
              <w:spacing w:line="252" w:lineRule="auto"/>
              <w:ind w:right="126"/>
              <w:rPr>
                <w:rFonts w:ascii="宋体" w:hAnsi="宋体" w:eastAsia="宋体" w:cs="宋体"/>
                <w:sz w:val="28"/>
                <w:szCs w:val="21"/>
              </w:rPr>
            </w:pPr>
            <w:r>
              <w:rPr>
                <w:rFonts w:ascii="宋体" w:hAnsi="宋体" w:eastAsia="宋体" w:cs="宋体"/>
                <w:sz w:val="28"/>
                <w:szCs w:val="21"/>
              </w:rPr>
              <w:t>高低压配</w:t>
            </w:r>
            <w:r>
              <w:rPr>
                <w:rFonts w:ascii="宋体" w:hAnsi="宋体" w:eastAsia="宋体" w:cs="宋体"/>
                <w:spacing w:val="-5"/>
                <w:sz w:val="28"/>
                <w:szCs w:val="21"/>
              </w:rPr>
              <w:t>电</w:t>
            </w:r>
            <w:r>
              <w:rPr>
                <w:rFonts w:hint="eastAsia" w:ascii="宋体" w:hAnsi="宋体" w:eastAsia="宋体" w:cs="宋体"/>
                <w:spacing w:val="-5"/>
                <w:sz w:val="28"/>
                <w:szCs w:val="21"/>
              </w:rPr>
              <w:t>及成套设备用塑料膜或彩条布保护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tcW w:w="355" w:type="pct"/>
            <w:vMerge w:val="continue"/>
          </w:tcPr>
          <w:p>
            <w:pPr>
              <w:spacing w:line="288" w:lineRule="auto"/>
              <w:ind w:firstLine="560" w:firstLineChars="200"/>
              <w:rPr>
                <w:rFonts w:ascii="宋体" w:hAnsi="宋体" w:eastAsia="宋体" w:cs="宋体"/>
                <w:sz w:val="28"/>
                <w:szCs w:val="21"/>
              </w:rPr>
            </w:pPr>
          </w:p>
        </w:tc>
        <w:tc>
          <w:tcPr>
            <w:tcW w:w="2287" w:type="pct"/>
          </w:tcPr>
          <w:p>
            <w:pPr>
              <w:widowControl/>
              <w:jc w:val="left"/>
              <w:rPr>
                <w:rFonts w:ascii="宋体" w:hAnsi="宋体" w:eastAsia="宋体" w:cs="宋体"/>
                <w:kern w:val="0"/>
                <w:sz w:val="24"/>
                <w:szCs w:val="24"/>
              </w:rPr>
            </w:pP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"D:\\..\\think\\AppData\\Roaming\\Tencent\\Users\\360431577\\QQ\\WinTemp\\RichOle\\@%FCSUSKJ77F5{%7$HJ9)6W.jpg"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INCLUDEPICTURE  "D:\\think\\AppData\\Roaming\\Tencent\\Users\\360431577\\QQ\\WinTemp\\RichOle\\@%FCSUSKJ77F5{%7$HJ9)6W.jpg" \* MERGEFORMATINET</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"C:\\Users\\shenqiyanshu\\Documents\\WeChat Files\\shenqiyanshu\\FileStorage\\think\\AppData\\Roaming\\Tencent\\Users\\360431577\\QQ\\WinTemp\\RichOle\\@%FCSUSKJ77F5{%7$HJ9)6W.jpg"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"D:\\融创\\各类支撑文件\\工程相关要求\\think\\AppData\\Roaming\\Tencent\\Users\\360431577\\QQ\\WinTemp\\RichOle\\@%FCSUSKJ77F5{%7$HJ9)6W.jpg"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"D:\\融创\\各类支撑文件\\工程相关要求\\think\\AppData\\Roaming\\Tencent\\Users\\360431577\\QQ\\WinTemp\\RichOle\\@%FCSUSKJ77F5{%7$HJ9)6W.jpg"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"D:\\融创\\各类支撑文件\\工程相关要求\\think\\AppData\\Roaming\\Tencent\\Users\\360431577\\QQ\\WinTemp\\RichOle\\@%FCSUSKJ77F5{%7$HJ9)6W.jpg"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fldChar w:fldCharType="begin"/>
            </w:r>
            <w:r>
              <w:rPr>
                <w:rFonts w:ascii="宋体" w:hAnsi="宋体" w:eastAsia="宋体" w:cs="宋体"/>
                <w:kern w:val="0"/>
                <w:sz w:val="24"/>
                <w:szCs w:val="24"/>
              </w:rPr>
              <w:instrText xml:space="preserve"> INCLUDEPICTURE  "D:\\融创\\各类支撑文件\\工程相关要求\\think\\AppData\\Roaming\\Tencent\\Users\\360431577\\QQ\\WinTemp\\RichOle\\@%FCSUSKJ77F5{%7$HJ9)6W.jpg" \* MERGEFORMATINET </w:instrText>
            </w:r>
            <w:r>
              <w:rPr>
                <w:rFonts w:ascii="宋体" w:hAnsi="宋体" w:eastAsia="宋体" w:cs="宋体"/>
                <w:kern w:val="0"/>
                <w:sz w:val="24"/>
                <w:szCs w:val="24"/>
              </w:rPr>
              <w:fldChar w:fldCharType="separate"/>
            </w:r>
            <w:r>
              <w:rPr>
                <w:rFonts w:ascii="宋体" w:hAnsi="宋体" w:eastAsia="宋体" w:cs="宋体"/>
                <w:kern w:val="0"/>
                <w:sz w:val="24"/>
                <w:szCs w:val="24"/>
              </w:rPr>
              <w:pict>
                <v:shape id="_x0000_i1025" o:spt="75" type="#_x0000_t75" style="height:180.6pt;width:201.6pt;" filled="f" o:preferrelative="t" stroked="f" coordsize="21600,21600">
                  <v:path/>
                  <v:fill on="f" focussize="0,0"/>
                  <v:stroke on="f" joinstyle="miter"/>
                  <v:imagedata r:id="rId8" r:href="rId9" o:title=""/>
                  <o:lock v:ext="edit" aspectratio="t"/>
                  <w10:wrap type="none"/>
                  <w10:anchorlock/>
                </v:shape>
              </w:pict>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r>
              <w:rPr>
                <w:rFonts w:ascii="宋体" w:hAnsi="宋体" w:eastAsia="宋体" w:cs="宋体"/>
                <w:kern w:val="0"/>
                <w:sz w:val="24"/>
                <w:szCs w:val="24"/>
              </w:rPr>
              <w:fldChar w:fldCharType="end"/>
            </w:r>
          </w:p>
          <w:p>
            <w:pPr>
              <w:spacing w:line="288" w:lineRule="auto"/>
              <w:jc w:val="center"/>
              <w:rPr>
                <w:rFonts w:ascii="宋体" w:hAnsi="宋体" w:eastAsia="宋体" w:cs="宋体"/>
                <w:sz w:val="28"/>
                <w:szCs w:val="21"/>
              </w:rPr>
            </w:pPr>
            <w:r>
              <w:rPr>
                <w:rFonts w:ascii="宋体" w:hAnsi="宋体" w:eastAsia="宋体" w:cs="宋体"/>
                <w:sz w:val="28"/>
                <w:szCs w:val="21"/>
              </w:rPr>
              <w:t>桥架用塑</w:t>
            </w:r>
            <w:r>
              <w:rPr>
                <w:rFonts w:ascii="宋体" w:hAnsi="宋体" w:eastAsia="宋体" w:cs="宋体"/>
                <w:spacing w:val="-5"/>
                <w:sz w:val="28"/>
                <w:szCs w:val="21"/>
              </w:rPr>
              <w:t>料</w:t>
            </w:r>
            <w:r>
              <w:rPr>
                <w:rFonts w:ascii="宋体" w:hAnsi="宋体" w:eastAsia="宋体" w:cs="宋体"/>
                <w:sz w:val="28"/>
                <w:szCs w:val="21"/>
              </w:rPr>
              <w:t>薄膜包</w:t>
            </w:r>
            <w:r>
              <w:rPr>
                <w:rFonts w:ascii="宋体" w:hAnsi="宋体" w:eastAsia="宋体" w:cs="宋体"/>
                <w:spacing w:val="-5"/>
                <w:sz w:val="28"/>
                <w:szCs w:val="21"/>
              </w:rPr>
              <w:t>裹</w:t>
            </w:r>
            <w:r>
              <w:rPr>
                <w:rFonts w:ascii="宋体" w:hAnsi="宋体" w:eastAsia="宋体" w:cs="宋体"/>
                <w:sz w:val="28"/>
                <w:szCs w:val="21"/>
              </w:rPr>
              <w:t>保护</w:t>
            </w:r>
            <w:r>
              <w:rPr>
                <w:rFonts w:hint="eastAsia" w:ascii="宋体" w:hAnsi="宋体" w:eastAsia="宋体" w:cs="宋体"/>
                <w:sz w:val="28"/>
                <w:szCs w:val="21"/>
              </w:rPr>
              <w:t>（因工序原因才做）</w:t>
            </w:r>
          </w:p>
        </w:tc>
        <w:tc>
          <w:tcPr>
            <w:tcW w:w="2358" w:type="pct"/>
          </w:tcPr>
          <w:p>
            <w:pPr>
              <w:spacing w:line="288" w:lineRule="auto"/>
              <w:jc w:val="center"/>
              <w:rPr>
                <w:rFonts w:ascii="宋体" w:hAnsi="宋体" w:eastAsia="宋体" w:cs="宋体"/>
                <w:sz w:val="28"/>
                <w:szCs w:val="21"/>
              </w:rPr>
            </w:pPr>
            <w:r>
              <w:rPr>
                <w:rFonts w:ascii="Times New Roman" w:hAnsi="Times New Roman" w:eastAsia="宋体" w:cs="Times New Roman"/>
                <w:sz w:val="28"/>
                <w:szCs w:val="24"/>
              </w:rPr>
              <w:drawing>
                <wp:inline distT="0" distB="0" distL="0" distR="0">
                  <wp:extent cx="2583180" cy="230886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83180" cy="2308860"/>
                          </a:xfrm>
                          <a:prstGeom prst="rect">
                            <a:avLst/>
                          </a:prstGeom>
                          <a:noFill/>
                          <a:ln>
                            <a:noFill/>
                          </a:ln>
                        </pic:spPr>
                      </pic:pic>
                    </a:graphicData>
                  </a:graphic>
                </wp:inline>
              </w:drawing>
            </w:r>
          </w:p>
          <w:p>
            <w:pPr>
              <w:spacing w:line="288" w:lineRule="auto"/>
              <w:jc w:val="center"/>
              <w:rPr>
                <w:rFonts w:ascii="宋体" w:hAnsi="宋体" w:eastAsia="宋体" w:cs="宋体"/>
                <w:sz w:val="28"/>
                <w:szCs w:val="21"/>
              </w:rPr>
            </w:pPr>
            <w:r>
              <w:rPr>
                <w:rFonts w:hint="eastAsia" w:ascii="宋体" w:hAnsi="宋体" w:eastAsia="宋体" w:cs="宋体"/>
                <w:sz w:val="28"/>
                <w:szCs w:val="21"/>
              </w:rPr>
              <w:t>照明灯具覆膜保护</w:t>
            </w:r>
          </w:p>
        </w:tc>
      </w:tr>
    </w:tbl>
    <w:p>
      <w:pPr>
        <w:pStyle w:val="10"/>
        <w:numPr>
          <w:ilvl w:val="0"/>
          <w:numId w:val="2"/>
        </w:numPr>
        <w:spacing w:line="440" w:lineRule="atLeast"/>
        <w:ind w:firstLineChars="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工期要求</w:t>
      </w:r>
    </w:p>
    <w:p>
      <w:pPr>
        <w:pStyle w:val="10"/>
        <w:numPr>
          <w:ilvl w:val="0"/>
          <w:numId w:val="3"/>
        </w:numPr>
        <w:spacing w:line="360" w:lineRule="auto"/>
        <w:ind w:firstLineChars="0"/>
        <w:rPr>
          <w:rFonts w:ascii="Times New Roman" w:hAnsi="Times New Roman" w:eastAsia="宋体" w:cs="Times New Roman"/>
          <w:b/>
          <w:bCs/>
          <w:sz w:val="24"/>
          <w:szCs w:val="24"/>
        </w:rPr>
      </w:pPr>
      <w:r>
        <w:rPr>
          <w:rFonts w:hint="eastAsia" w:ascii="宋体" w:hAnsi="宋体" w:eastAsia="宋体" w:cs="Times New Roman"/>
          <w:sz w:val="24"/>
          <w:szCs w:val="24"/>
        </w:rPr>
        <w:t>见合同范围</w:t>
      </w:r>
    </w:p>
    <w:p>
      <w:pPr>
        <w:spacing w:line="360" w:lineRule="auto"/>
        <w:ind w:firstLine="240" w:firstLineChars="10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六、其它要求</w:t>
      </w:r>
    </w:p>
    <w:p>
      <w:pPr>
        <w:ind w:left="992" w:leftChars="301" w:hanging="360" w:hangingChars="150"/>
        <w:rPr>
          <w:rFonts w:ascii="宋体" w:hAnsi="宋体" w:eastAsia="宋体" w:cs="Times New Roman"/>
          <w:sz w:val="24"/>
          <w:szCs w:val="24"/>
        </w:rPr>
      </w:pPr>
      <w:r>
        <w:rPr>
          <w:rFonts w:hint="eastAsia" w:ascii="宋体" w:hAnsi="宋体" w:eastAsia="宋体" w:cs="Times New Roman"/>
          <w:sz w:val="24"/>
          <w:szCs w:val="21"/>
        </w:rPr>
        <w:t>1、负责按中标结果调整供电局审图意见书的</w:t>
      </w:r>
      <w:r>
        <w:rPr>
          <w:rFonts w:hint="eastAsia" w:ascii="Times New Roman" w:hAnsi="Times New Roman" w:eastAsia="宋体" w:cs="Times New Roman"/>
          <w:sz w:val="24"/>
          <w:szCs w:val="24"/>
        </w:rPr>
        <w:t>相关内容及办理有关手续等；</w:t>
      </w:r>
    </w:p>
    <w:p>
      <w:pPr>
        <w:spacing w:line="360" w:lineRule="auto"/>
        <w:ind w:left="990" w:leftChars="300" w:hanging="360" w:hangingChars="150"/>
        <w:rPr>
          <w:rFonts w:ascii="宋体" w:hAnsi="宋体" w:eastAsia="宋体" w:cs="Times New Roman"/>
          <w:sz w:val="24"/>
          <w:szCs w:val="21"/>
        </w:rPr>
      </w:pPr>
      <w:r>
        <w:rPr>
          <w:rFonts w:hint="eastAsia" w:ascii="宋体" w:hAnsi="宋体" w:eastAsia="宋体" w:cs="Times New Roman"/>
          <w:sz w:val="24"/>
          <w:szCs w:val="21"/>
        </w:rPr>
        <w:t>3、提供主要元器件、设备材料的清单及原厂供货证明</w:t>
      </w:r>
      <w:r>
        <w:rPr>
          <w:rFonts w:hint="eastAsia" w:ascii="Times New Roman" w:hAnsi="Times New Roman" w:eastAsia="宋体" w:cs="Times New Roman"/>
          <w:sz w:val="24"/>
          <w:szCs w:val="24"/>
        </w:rPr>
        <w:t>，作为材料进场审核及施工验收依据</w:t>
      </w:r>
      <w:r>
        <w:rPr>
          <w:rFonts w:hint="eastAsia" w:ascii="宋体" w:hAnsi="宋体" w:eastAsia="宋体" w:cs="Times New Roman"/>
          <w:sz w:val="24"/>
          <w:szCs w:val="21"/>
        </w:rPr>
        <w:t>；提供相关供货产品的检验报告；</w:t>
      </w:r>
    </w:p>
    <w:p>
      <w:pPr>
        <w:snapToGrid w:val="0"/>
        <w:spacing w:line="440" w:lineRule="atLeast"/>
        <w:ind w:firstLine="840" w:firstLineChars="350"/>
        <w:rPr>
          <w:rFonts w:ascii="宋体" w:hAnsi="宋体" w:eastAsia="宋体" w:cs="Times New Roman"/>
          <w:sz w:val="24"/>
          <w:szCs w:val="21"/>
        </w:rPr>
      </w:pPr>
      <w:r>
        <w:rPr>
          <w:rFonts w:hint="eastAsia" w:ascii="宋体" w:hAnsi="宋体" w:eastAsia="宋体" w:cs="Times New Roman"/>
          <w:sz w:val="24"/>
          <w:szCs w:val="21"/>
        </w:rPr>
        <w:t>4、提供产品包装、堆放、成品保护措施；</w:t>
      </w:r>
    </w:p>
    <w:p>
      <w:pPr>
        <w:snapToGrid w:val="0"/>
        <w:spacing w:line="440" w:lineRule="atLeast"/>
        <w:ind w:firstLine="840" w:firstLineChars="350"/>
        <w:rPr>
          <w:rFonts w:ascii="宋体" w:hAnsi="宋体" w:eastAsia="宋体" w:cs="Times New Roman"/>
          <w:sz w:val="24"/>
          <w:szCs w:val="21"/>
        </w:rPr>
      </w:pPr>
      <w:r>
        <w:rPr>
          <w:rFonts w:hint="eastAsia" w:ascii="宋体" w:hAnsi="宋体" w:eastAsia="宋体" w:cs="Times New Roman"/>
          <w:sz w:val="24"/>
          <w:szCs w:val="21"/>
        </w:rPr>
        <w:t>5、提供质保承诺书、售后服务计划书；</w:t>
      </w:r>
    </w:p>
    <w:p>
      <w:pPr>
        <w:snapToGrid w:val="0"/>
        <w:spacing w:line="440" w:lineRule="atLeast"/>
        <w:ind w:firstLine="840" w:firstLineChars="350"/>
        <w:rPr>
          <w:rFonts w:ascii="Times New Roman" w:hAnsi="Times New Roman" w:eastAsia="宋体" w:cs="Times New Roman"/>
          <w:bCs/>
          <w:color w:val="000000"/>
          <w:sz w:val="24"/>
          <w:szCs w:val="24"/>
        </w:rPr>
      </w:pPr>
      <w:r>
        <w:rPr>
          <w:rFonts w:hint="eastAsia" w:ascii="宋体" w:hAnsi="宋体" w:eastAsia="宋体" w:cs="Times New Roman"/>
          <w:sz w:val="24"/>
          <w:szCs w:val="21"/>
        </w:rPr>
        <w:t>6、</w:t>
      </w:r>
      <w:r>
        <w:rPr>
          <w:rFonts w:hint="eastAsia" w:ascii="Times New Roman" w:hAnsi="Times New Roman" w:eastAsia="宋体" w:cs="Times New Roman"/>
          <w:bCs/>
          <w:color w:val="000000"/>
          <w:sz w:val="24"/>
          <w:szCs w:val="24"/>
        </w:rPr>
        <w:t>提供详细的安装工程施工组织设计方案；</w:t>
      </w:r>
    </w:p>
    <w:p>
      <w:pPr>
        <w:snapToGrid w:val="0"/>
        <w:spacing w:line="440" w:lineRule="atLeast"/>
        <w:ind w:firstLine="840" w:firstLineChars="350"/>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7、按总包、监理现场要求，及时办理相关进场手续；</w:t>
      </w:r>
    </w:p>
    <w:p>
      <w:pPr>
        <w:snapToGrid w:val="0"/>
        <w:spacing w:line="440" w:lineRule="atLeast"/>
        <w:ind w:firstLine="840" w:firstLineChars="350"/>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8、按甲方要求对物业进行培训；</w:t>
      </w:r>
    </w:p>
    <w:p>
      <w:pPr>
        <w:snapToGrid w:val="0"/>
        <w:spacing w:line="440" w:lineRule="atLeast"/>
        <w:ind w:firstLine="840" w:firstLineChars="350"/>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9、配合甲方完成与供电部门的移交。</w:t>
      </w:r>
    </w:p>
    <w:p>
      <w:pPr>
        <w:spacing w:line="360" w:lineRule="auto"/>
        <w:rPr>
          <w:rFonts w:ascii="宋体" w:hAnsi="宋体" w:eastAsia="宋体" w:cs="Times New Roman"/>
          <w:b/>
          <w:bCs/>
          <w:color w:val="FF0000"/>
          <w:sz w:val="24"/>
          <w:szCs w:val="32"/>
        </w:rPr>
      </w:pPr>
      <w:r>
        <w:rPr>
          <w:rFonts w:ascii="宋体" w:hAnsi="宋体" w:eastAsia="宋体" w:cs="Times New Roman"/>
          <w:b/>
          <w:bCs/>
          <w:color w:val="FF0000"/>
          <w:sz w:val="24"/>
          <w:szCs w:val="32"/>
        </w:rPr>
        <w:t>10</w:t>
      </w:r>
      <w:r>
        <w:rPr>
          <w:rFonts w:hint="eastAsia" w:ascii="宋体" w:hAnsi="宋体" w:eastAsia="宋体" w:cs="Times New Roman"/>
          <w:b/>
          <w:bCs/>
          <w:color w:val="FF0000"/>
          <w:sz w:val="24"/>
          <w:szCs w:val="32"/>
        </w:rPr>
        <w:t>、质量缺陷整改配合要求</w:t>
      </w:r>
    </w:p>
    <w:p>
      <w:pPr>
        <w:spacing w:line="360" w:lineRule="auto"/>
        <w:rPr>
          <w:rFonts w:ascii="宋体" w:hAnsi="宋体" w:eastAsia="宋体" w:cs="Times New Roman"/>
          <w:b/>
          <w:color w:val="FF0000"/>
          <w:sz w:val="24"/>
          <w:szCs w:val="20"/>
        </w:rPr>
      </w:pPr>
      <w:r>
        <w:rPr>
          <w:rFonts w:ascii="宋体" w:hAnsi="宋体" w:eastAsia="宋体" w:cs="Times New Roman"/>
          <w:b/>
          <w:color w:val="FF0000"/>
          <w:sz w:val="24"/>
          <w:szCs w:val="20"/>
        </w:rPr>
        <w:t>10.</w:t>
      </w:r>
      <w:r>
        <w:rPr>
          <w:rFonts w:hint="eastAsia" w:ascii="宋体" w:hAnsi="宋体" w:eastAsia="宋体" w:cs="Times New Roman"/>
          <w:b/>
          <w:color w:val="FF0000"/>
          <w:sz w:val="24"/>
          <w:szCs w:val="20"/>
        </w:rPr>
        <w:t>1国贸地产第三方交付评估前质量缺陷整改要求</w:t>
      </w:r>
    </w:p>
    <w:p>
      <w:pPr>
        <w:spacing w:line="360" w:lineRule="auto"/>
        <w:rPr>
          <w:rFonts w:ascii="宋体" w:hAnsi="宋体" w:eastAsia="宋体" w:cs="Times New Roman"/>
          <w:bCs/>
          <w:color w:val="FF0000"/>
          <w:sz w:val="24"/>
          <w:szCs w:val="24"/>
        </w:rPr>
      </w:pPr>
      <w:r>
        <w:rPr>
          <w:rFonts w:hint="eastAsia" w:ascii="宋体" w:hAnsi="宋体" w:eastAsia="宋体" w:cs="Times New Roman"/>
          <w:bCs/>
          <w:color w:val="FF0000"/>
          <w:sz w:val="24"/>
          <w:szCs w:val="24"/>
        </w:rPr>
        <w:t>1）国贸地产第三方交付评估前</w:t>
      </w:r>
      <w:r>
        <w:rPr>
          <w:rFonts w:ascii="宋体" w:hAnsi="宋体" w:eastAsia="宋体" w:cs="Times New Roman"/>
          <w:bCs/>
          <w:color w:val="FF0000"/>
          <w:sz w:val="24"/>
          <w:szCs w:val="24"/>
        </w:rPr>
        <w:t>3</w:t>
      </w:r>
      <w:r>
        <w:rPr>
          <w:rFonts w:hint="eastAsia" w:ascii="宋体" w:hAnsi="宋体" w:eastAsia="宋体" w:cs="Times New Roman"/>
          <w:bCs/>
          <w:color w:val="FF0000"/>
          <w:sz w:val="24"/>
          <w:szCs w:val="24"/>
        </w:rPr>
        <w:t>月内，高低压单位负责安排专人及足够的劳动力配合现场高低压问题查验及销项整改，现场查验出的问题整改闭合率需≥98%（如80%≤整改率﹤98%，则扣除2万违约金；如整改率﹤80%则暂缓当月进度款支付，直至整改率满足要求）。</w:t>
      </w:r>
    </w:p>
    <w:p>
      <w:pPr>
        <w:spacing w:line="360" w:lineRule="auto"/>
        <w:rPr>
          <w:rFonts w:ascii="宋体" w:hAnsi="宋体" w:eastAsia="宋体" w:cs="Times New Roman"/>
          <w:b/>
          <w:bCs/>
          <w:color w:val="FF0000"/>
          <w:sz w:val="24"/>
          <w:szCs w:val="24"/>
        </w:rPr>
      </w:pPr>
      <w:r>
        <w:rPr>
          <w:rFonts w:ascii="宋体" w:hAnsi="宋体" w:eastAsia="宋体" w:cs="Times New Roman"/>
          <w:b/>
          <w:bCs/>
          <w:color w:val="FF0000"/>
          <w:sz w:val="24"/>
          <w:szCs w:val="24"/>
        </w:rPr>
        <w:t>10.2</w:t>
      </w:r>
      <w:r>
        <w:rPr>
          <w:rFonts w:hint="eastAsia" w:ascii="宋体" w:hAnsi="宋体" w:eastAsia="宋体" w:cs="Times New Roman"/>
          <w:b/>
          <w:bCs/>
          <w:color w:val="FF0000"/>
          <w:sz w:val="24"/>
          <w:szCs w:val="24"/>
        </w:rPr>
        <w:t>集中交付期间质量缺陷整改要求</w:t>
      </w:r>
    </w:p>
    <w:p>
      <w:pPr>
        <w:spacing w:line="360" w:lineRule="auto"/>
        <w:rPr>
          <w:rFonts w:ascii="宋体" w:hAnsi="宋体" w:eastAsia="宋体" w:cs="Times New Roman"/>
          <w:bCs/>
          <w:color w:val="FF0000"/>
          <w:sz w:val="24"/>
          <w:szCs w:val="24"/>
        </w:rPr>
      </w:pPr>
      <w:r>
        <w:rPr>
          <w:rFonts w:hint="eastAsia" w:ascii="宋体" w:hAnsi="宋体" w:eastAsia="宋体" w:cs="Times New Roman"/>
          <w:bCs/>
          <w:color w:val="FF0000"/>
          <w:sz w:val="24"/>
          <w:szCs w:val="24"/>
        </w:rPr>
        <w:t>1）集中交付一个月内维修整改配合：集中交付期间小业主提出的问题整改闭合率需≥98%（如80%≤整改率﹤98%，则扣除2万违约金；如整改率﹤80%则暂缓当月进度款支付，直至整改率满足要求）。</w:t>
      </w:r>
    </w:p>
    <w:p>
      <w:pPr>
        <w:spacing w:line="360" w:lineRule="auto"/>
        <w:rPr>
          <w:rFonts w:ascii="宋体" w:hAnsi="宋体" w:eastAsia="宋体" w:cs="Times New Roman"/>
          <w:b/>
          <w:bCs/>
          <w:color w:val="FF0000"/>
          <w:sz w:val="24"/>
          <w:szCs w:val="32"/>
        </w:rPr>
      </w:pPr>
      <w:r>
        <w:rPr>
          <w:rFonts w:ascii="宋体" w:hAnsi="宋体" w:eastAsia="宋体" w:cs="Times New Roman"/>
          <w:b/>
          <w:bCs/>
          <w:color w:val="FF0000"/>
          <w:sz w:val="24"/>
          <w:szCs w:val="32"/>
        </w:rPr>
        <w:t>10.3</w:t>
      </w:r>
      <w:r>
        <w:rPr>
          <w:rFonts w:hint="eastAsia" w:ascii="宋体" w:hAnsi="宋体" w:eastAsia="宋体" w:cs="Times New Roman"/>
          <w:b/>
          <w:bCs/>
          <w:color w:val="FF0000"/>
          <w:sz w:val="24"/>
          <w:szCs w:val="32"/>
        </w:rPr>
        <w:t>国贸第三方材料飞检管理要求</w:t>
      </w:r>
    </w:p>
    <w:p>
      <w:pPr>
        <w:spacing w:line="360" w:lineRule="auto"/>
        <w:rPr>
          <w:rFonts w:ascii="宋体" w:hAnsi="宋体" w:eastAsia="宋体" w:cs="Times New Roman"/>
          <w:bCs/>
          <w:color w:val="FF0000"/>
          <w:sz w:val="24"/>
          <w:szCs w:val="24"/>
        </w:rPr>
      </w:pPr>
      <w:r>
        <w:rPr>
          <w:rFonts w:hint="eastAsia" w:ascii="宋体" w:hAnsi="宋体" w:eastAsia="宋体" w:cs="Times New Roman"/>
          <w:bCs/>
          <w:color w:val="FF0000"/>
          <w:sz w:val="24"/>
          <w:szCs w:val="24"/>
        </w:rPr>
        <w:t>1）高低压单位进场后，需按照国贸地产相关制度要求严格执行材料进场可视化验收，并做好材料进场台账管理工作。</w:t>
      </w:r>
    </w:p>
    <w:p>
      <w:pPr>
        <w:spacing w:line="360" w:lineRule="auto"/>
        <w:rPr>
          <w:rFonts w:ascii="宋体" w:hAnsi="宋体" w:eastAsia="宋体" w:cs="Times New Roman"/>
          <w:bCs/>
          <w:color w:val="FF0000"/>
          <w:sz w:val="24"/>
          <w:szCs w:val="24"/>
        </w:rPr>
      </w:pPr>
      <w:r>
        <w:rPr>
          <w:rFonts w:hint="eastAsia" w:ascii="宋体" w:hAnsi="宋体" w:eastAsia="宋体" w:cs="Times New Roman"/>
          <w:bCs/>
          <w:color w:val="FF0000"/>
          <w:sz w:val="24"/>
          <w:szCs w:val="24"/>
        </w:rPr>
        <w:t>2）高低压单位需配合并接受国贸第三方材料飞检，对检查出的不合格材料无理由退场、更换，发包人有权按照相关制度要求追究高低压单位违约责任，由高低压单位承担因材料不合格造成发包人工期及其他相应损失的赔偿责任。</w:t>
      </w:r>
    </w:p>
    <w:p>
      <w:pPr>
        <w:adjustRightInd w:val="0"/>
        <w:snapToGrid w:val="0"/>
        <w:jc w:val="left"/>
        <w:textAlignment w:val="baseline"/>
        <w:rPr>
          <w:rFonts w:ascii="Times New Roman" w:hAnsi="宋体" w:eastAsia="宋体" w:cs="Times New Roman"/>
          <w:b/>
          <w:color w:val="FF0000"/>
          <w:sz w:val="24"/>
          <w:szCs w:val="24"/>
        </w:rPr>
      </w:pPr>
    </w:p>
    <w:tbl>
      <w:tblPr>
        <w:tblStyle w:val="5"/>
        <w:tblW w:w="5370" w:type="pct"/>
        <w:jc w:val="center"/>
        <w:tblLayout w:type="autofit"/>
        <w:tblCellMar>
          <w:top w:w="0" w:type="dxa"/>
          <w:left w:w="0" w:type="dxa"/>
          <w:bottom w:w="0" w:type="dxa"/>
          <w:right w:w="0" w:type="dxa"/>
        </w:tblCellMar>
      </w:tblPr>
      <w:tblGrid>
        <w:gridCol w:w="1905"/>
        <w:gridCol w:w="2665"/>
        <w:gridCol w:w="2146"/>
        <w:gridCol w:w="3257"/>
      </w:tblGrid>
      <w:tr>
        <w:tblPrEx>
          <w:tblCellMar>
            <w:top w:w="0" w:type="dxa"/>
            <w:left w:w="0" w:type="dxa"/>
            <w:bottom w:w="0" w:type="dxa"/>
            <w:right w:w="0" w:type="dxa"/>
          </w:tblCellMar>
        </w:tblPrEx>
        <w:trPr>
          <w:trHeight w:val="227" w:hRule="atLeast"/>
          <w:jc w:val="center"/>
        </w:trPr>
        <w:tc>
          <w:tcPr>
            <w:tcW w:w="3367" w:type="pct"/>
            <w:gridSpan w:val="3"/>
            <w:tcBorders>
              <w:top w:val="single" w:color="auto" w:sz="8" w:space="0"/>
              <w:left w:val="single" w:color="auto" w:sz="8" w:space="0"/>
              <w:bottom w:val="single" w:color="auto" w:sz="8" w:space="0"/>
              <w:right w:val="single" w:color="auto" w:sz="8" w:space="0"/>
            </w:tcBorders>
            <w:shd w:val="clear" w:color="auto" w:fill="BFBFBF"/>
            <w:tcMar>
              <w:top w:w="0" w:type="dxa"/>
              <w:left w:w="108" w:type="dxa"/>
              <w:bottom w:w="0" w:type="dxa"/>
              <w:right w:w="108" w:type="dxa"/>
            </w:tcMar>
          </w:tcPr>
          <w:p>
            <w:pPr>
              <w:jc w:val="center"/>
              <w:rPr>
                <w:rFonts w:ascii="宋体" w:hAnsi="宋体" w:eastAsia="宋体" w:cs="Times New Roman"/>
                <w:b/>
                <w:bCs/>
                <w:color w:val="FF0000"/>
                <w:sz w:val="24"/>
                <w:szCs w:val="24"/>
              </w:rPr>
            </w:pPr>
            <w:r>
              <w:rPr>
                <w:rFonts w:hint="eastAsia" w:ascii="宋体" w:hAnsi="宋体" w:eastAsia="宋体" w:cs="Times New Roman"/>
                <w:b/>
                <w:bCs/>
                <w:color w:val="FF0000"/>
                <w:sz w:val="24"/>
                <w:szCs w:val="24"/>
              </w:rPr>
              <w:t>质量管理分类</w:t>
            </w:r>
          </w:p>
        </w:tc>
        <w:tc>
          <w:tcPr>
            <w:tcW w:w="1633" w:type="pct"/>
            <w:vMerge w:val="restart"/>
            <w:tcBorders>
              <w:top w:val="single" w:color="auto" w:sz="8" w:space="0"/>
              <w:left w:val="nil"/>
              <w:bottom w:val="single" w:color="auto" w:sz="8" w:space="0"/>
              <w:right w:val="single" w:color="auto" w:sz="8" w:space="0"/>
            </w:tcBorders>
            <w:shd w:val="clear" w:color="auto" w:fill="BFBFBF"/>
            <w:noWrap/>
            <w:tcMar>
              <w:top w:w="0" w:type="dxa"/>
              <w:left w:w="108" w:type="dxa"/>
              <w:bottom w:w="0" w:type="dxa"/>
              <w:right w:w="108" w:type="dxa"/>
            </w:tcMar>
            <w:vAlign w:val="center"/>
          </w:tcPr>
          <w:p>
            <w:pPr>
              <w:jc w:val="center"/>
              <w:rPr>
                <w:rFonts w:ascii="宋体" w:hAnsi="宋体" w:eastAsia="宋体" w:cs="Times New Roman"/>
                <w:b/>
                <w:bCs/>
                <w:color w:val="FF0000"/>
                <w:sz w:val="24"/>
                <w:szCs w:val="24"/>
              </w:rPr>
            </w:pPr>
            <w:r>
              <w:rPr>
                <w:rFonts w:hint="eastAsia" w:ascii="宋体" w:hAnsi="宋体" w:eastAsia="宋体" w:cs="Times New Roman"/>
                <w:b/>
                <w:bCs/>
                <w:color w:val="FF0000"/>
                <w:sz w:val="24"/>
                <w:szCs w:val="24"/>
              </w:rPr>
              <w:t>对高低压单位</w:t>
            </w:r>
          </w:p>
        </w:tc>
      </w:tr>
      <w:tr>
        <w:tblPrEx>
          <w:tblCellMar>
            <w:top w:w="0" w:type="dxa"/>
            <w:left w:w="0" w:type="dxa"/>
            <w:bottom w:w="0" w:type="dxa"/>
            <w:right w:w="0" w:type="dxa"/>
          </w:tblCellMar>
        </w:tblPrEx>
        <w:trPr>
          <w:trHeight w:val="375" w:hRule="atLeast"/>
          <w:jc w:val="center"/>
        </w:trPr>
        <w:tc>
          <w:tcPr>
            <w:tcW w:w="955" w:type="pct"/>
            <w:tcBorders>
              <w:top w:val="nil"/>
              <w:left w:val="single" w:color="auto" w:sz="8" w:space="0"/>
              <w:bottom w:val="single" w:color="auto" w:sz="8" w:space="0"/>
              <w:right w:val="single" w:color="auto" w:sz="8" w:space="0"/>
            </w:tcBorders>
            <w:shd w:val="clear" w:color="auto" w:fill="BFBFBF"/>
            <w:tcMar>
              <w:top w:w="0" w:type="dxa"/>
              <w:left w:w="108" w:type="dxa"/>
              <w:bottom w:w="0" w:type="dxa"/>
              <w:right w:w="108" w:type="dxa"/>
            </w:tcMar>
            <w:vAlign w:val="center"/>
          </w:tcPr>
          <w:p>
            <w:pPr>
              <w:jc w:val="center"/>
              <w:rPr>
                <w:rFonts w:ascii="宋体" w:hAnsi="宋体" w:eastAsia="宋体" w:cs="Times New Roman"/>
                <w:b/>
                <w:bCs/>
                <w:color w:val="FF0000"/>
                <w:sz w:val="24"/>
                <w:szCs w:val="24"/>
              </w:rPr>
            </w:pPr>
            <w:r>
              <w:rPr>
                <w:rFonts w:hint="eastAsia" w:ascii="宋体" w:hAnsi="宋体" w:eastAsia="宋体" w:cs="Times New Roman"/>
                <w:b/>
                <w:bCs/>
                <w:color w:val="FF0000"/>
                <w:sz w:val="24"/>
                <w:szCs w:val="24"/>
              </w:rPr>
              <w:t>违约行为</w:t>
            </w:r>
          </w:p>
        </w:tc>
        <w:tc>
          <w:tcPr>
            <w:tcW w:w="1336" w:type="pct"/>
            <w:tcBorders>
              <w:top w:val="nil"/>
              <w:left w:val="nil"/>
              <w:bottom w:val="single" w:color="auto" w:sz="8" w:space="0"/>
              <w:right w:val="single" w:color="auto" w:sz="8" w:space="0"/>
            </w:tcBorders>
            <w:shd w:val="clear" w:color="auto" w:fill="BFBFBF"/>
            <w:tcMar>
              <w:top w:w="0" w:type="dxa"/>
              <w:left w:w="108" w:type="dxa"/>
              <w:bottom w:w="0" w:type="dxa"/>
              <w:right w:w="108" w:type="dxa"/>
            </w:tcMar>
            <w:vAlign w:val="center"/>
          </w:tcPr>
          <w:p>
            <w:pPr>
              <w:jc w:val="center"/>
              <w:rPr>
                <w:rFonts w:ascii="宋体" w:hAnsi="宋体" w:eastAsia="宋体" w:cs="Times New Roman"/>
                <w:b/>
                <w:bCs/>
                <w:color w:val="FF0000"/>
                <w:sz w:val="24"/>
                <w:szCs w:val="24"/>
              </w:rPr>
            </w:pPr>
            <w:r>
              <w:rPr>
                <w:rFonts w:hint="eastAsia" w:ascii="宋体" w:hAnsi="宋体" w:eastAsia="宋体" w:cs="Times New Roman"/>
                <w:b/>
                <w:bCs/>
                <w:color w:val="FF0000"/>
                <w:sz w:val="24"/>
                <w:szCs w:val="24"/>
              </w:rPr>
              <w:t>影响/后果</w:t>
            </w:r>
          </w:p>
        </w:tc>
        <w:tc>
          <w:tcPr>
            <w:tcW w:w="1076" w:type="pct"/>
            <w:tcBorders>
              <w:top w:val="nil"/>
              <w:left w:val="nil"/>
              <w:bottom w:val="single" w:color="auto" w:sz="8" w:space="0"/>
              <w:right w:val="single" w:color="auto" w:sz="8" w:space="0"/>
            </w:tcBorders>
            <w:shd w:val="clear" w:color="auto" w:fill="BFBFBF"/>
            <w:tcMar>
              <w:top w:w="0" w:type="dxa"/>
              <w:left w:w="108" w:type="dxa"/>
              <w:bottom w:w="0" w:type="dxa"/>
              <w:right w:w="108" w:type="dxa"/>
            </w:tcMar>
            <w:vAlign w:val="center"/>
          </w:tcPr>
          <w:p>
            <w:pPr>
              <w:jc w:val="center"/>
              <w:rPr>
                <w:rFonts w:ascii="宋体" w:hAnsi="宋体" w:eastAsia="宋体" w:cs="Times New Roman"/>
                <w:b/>
                <w:bCs/>
                <w:color w:val="FF0000"/>
                <w:sz w:val="24"/>
                <w:szCs w:val="24"/>
              </w:rPr>
            </w:pPr>
            <w:r>
              <w:rPr>
                <w:rFonts w:hint="eastAsia" w:ascii="宋体" w:hAnsi="宋体" w:eastAsia="宋体" w:cs="Times New Roman"/>
                <w:b/>
                <w:bCs/>
                <w:color w:val="FF0000"/>
                <w:sz w:val="24"/>
                <w:szCs w:val="24"/>
              </w:rPr>
              <w:t>状态</w:t>
            </w:r>
          </w:p>
        </w:tc>
        <w:tc>
          <w:tcPr>
            <w:tcW w:w="1633" w:type="pct"/>
            <w:vMerge w:val="continue"/>
            <w:tcBorders>
              <w:top w:val="single" w:color="auto" w:sz="8" w:space="0"/>
              <w:left w:val="nil"/>
              <w:bottom w:val="single" w:color="auto" w:sz="8" w:space="0"/>
              <w:right w:val="single" w:color="auto" w:sz="8" w:space="0"/>
            </w:tcBorders>
            <w:vAlign w:val="center"/>
          </w:tcPr>
          <w:p>
            <w:pPr>
              <w:jc w:val="left"/>
              <w:rPr>
                <w:rFonts w:ascii="宋体" w:hAnsi="宋体" w:eastAsia="宋体" w:cs="宋体"/>
                <w:b/>
                <w:bCs/>
                <w:color w:val="FF0000"/>
                <w:sz w:val="24"/>
                <w:szCs w:val="24"/>
              </w:rPr>
            </w:pPr>
          </w:p>
        </w:tc>
      </w:tr>
      <w:tr>
        <w:tblPrEx>
          <w:tblCellMar>
            <w:top w:w="0" w:type="dxa"/>
            <w:left w:w="0" w:type="dxa"/>
            <w:bottom w:w="0" w:type="dxa"/>
            <w:right w:w="0" w:type="dxa"/>
          </w:tblCellMar>
        </w:tblPrEx>
        <w:trPr>
          <w:trHeight w:val="375" w:hRule="atLeast"/>
          <w:jc w:val="center"/>
        </w:trPr>
        <w:tc>
          <w:tcPr>
            <w:tcW w:w="955" w:type="pct"/>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货不对板</w:t>
            </w:r>
          </w:p>
        </w:tc>
        <w:tc>
          <w:tcPr>
            <w:tcW w:w="1336" w:type="pct"/>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品牌、</w:t>
            </w:r>
            <w:r>
              <w:rPr>
                <w:rFonts w:ascii="宋体" w:hAnsi="宋体" w:eastAsia="宋体" w:cs="Times New Roman"/>
                <w:color w:val="FF0000"/>
                <w:sz w:val="20"/>
                <w:szCs w:val="20"/>
              </w:rPr>
              <w:t>型号与合同约定不符</w:t>
            </w: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已到场，未安装</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材料退场</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处罚金额=货</w:t>
            </w:r>
            <w:r>
              <w:rPr>
                <w:rFonts w:ascii="宋体" w:hAnsi="宋体" w:eastAsia="宋体" w:cs="Times New Roman"/>
                <w:color w:val="FF0000"/>
                <w:sz w:val="20"/>
                <w:szCs w:val="20"/>
              </w:rPr>
              <w:t>不对</w:t>
            </w:r>
            <w:r>
              <w:rPr>
                <w:rFonts w:hint="eastAsia" w:ascii="宋体" w:hAnsi="宋体" w:eastAsia="宋体" w:cs="Times New Roman"/>
                <w:color w:val="FF0000"/>
                <w:sz w:val="20"/>
                <w:szCs w:val="20"/>
              </w:rPr>
              <w:t>板</w:t>
            </w:r>
            <w:r>
              <w:rPr>
                <w:rFonts w:ascii="宋体" w:hAnsi="宋体" w:eastAsia="宋体" w:cs="Times New Roman"/>
                <w:color w:val="FF0000"/>
                <w:sz w:val="20"/>
                <w:szCs w:val="20"/>
              </w:rPr>
              <w:t>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金额×0.</w:t>
            </w:r>
            <w:r>
              <w:rPr>
                <w:rFonts w:ascii="宋体" w:hAnsi="宋体" w:eastAsia="宋体" w:cs="Times New Roman"/>
                <w:color w:val="FF0000"/>
                <w:sz w:val="20"/>
                <w:szCs w:val="20"/>
              </w:rPr>
              <w:t>3</w:t>
            </w:r>
          </w:p>
        </w:tc>
      </w:tr>
      <w:tr>
        <w:tblPrEx>
          <w:tblCellMar>
            <w:top w:w="0" w:type="dxa"/>
            <w:left w:w="0" w:type="dxa"/>
            <w:bottom w:w="0" w:type="dxa"/>
            <w:right w:w="0" w:type="dxa"/>
          </w:tblCellMar>
        </w:tblPrEx>
        <w:trPr>
          <w:trHeight w:val="342"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已安装</w:t>
            </w:r>
            <w:r>
              <w:rPr>
                <w:rFonts w:ascii="宋体" w:hAnsi="宋体" w:eastAsia="宋体" w:cs="Times New Roman"/>
                <w:color w:val="FF0000"/>
                <w:sz w:val="20"/>
                <w:szCs w:val="20"/>
              </w:rPr>
              <w:t>且与交付标准</w:t>
            </w:r>
            <w:r>
              <w:rPr>
                <w:rFonts w:hint="eastAsia" w:ascii="宋体" w:hAnsi="宋体" w:eastAsia="宋体" w:cs="Times New Roman"/>
                <w:color w:val="FF0000"/>
                <w:sz w:val="20"/>
                <w:szCs w:val="20"/>
              </w:rPr>
              <w:t>无</w:t>
            </w:r>
            <w:r>
              <w:rPr>
                <w:rFonts w:ascii="宋体" w:hAnsi="宋体" w:eastAsia="宋体" w:cs="Times New Roman"/>
                <w:color w:val="FF0000"/>
                <w:sz w:val="20"/>
                <w:szCs w:val="20"/>
              </w:rPr>
              <w:t>冲突，</w:t>
            </w:r>
            <w:r>
              <w:rPr>
                <w:rFonts w:hint="eastAsia" w:ascii="宋体" w:hAnsi="宋体" w:eastAsia="宋体" w:cs="Times New Roman"/>
                <w:color w:val="FF0000"/>
                <w:sz w:val="20"/>
                <w:szCs w:val="20"/>
              </w:rPr>
              <w:t>可</w:t>
            </w:r>
            <w:r>
              <w:rPr>
                <w:rFonts w:ascii="宋体" w:hAnsi="宋体" w:eastAsia="宋体" w:cs="Times New Roman"/>
                <w:color w:val="FF0000"/>
                <w:sz w:val="20"/>
                <w:szCs w:val="20"/>
              </w:rPr>
              <w:t>不</w:t>
            </w:r>
            <w:r>
              <w:rPr>
                <w:rFonts w:hint="eastAsia" w:ascii="宋体" w:hAnsi="宋体" w:eastAsia="宋体" w:cs="Times New Roman"/>
                <w:color w:val="FF0000"/>
                <w:sz w:val="20"/>
                <w:szCs w:val="20"/>
              </w:rPr>
              <w:t>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延长</w:t>
            </w:r>
            <w:r>
              <w:rPr>
                <w:rFonts w:ascii="宋体" w:hAnsi="宋体" w:eastAsia="宋体" w:cs="Times New Roman"/>
                <w:color w:val="FF0000"/>
                <w:sz w:val="20"/>
                <w:szCs w:val="20"/>
              </w:rPr>
              <w:t>保修</w:t>
            </w:r>
            <w:r>
              <w:rPr>
                <w:rFonts w:hint="eastAsia" w:ascii="宋体" w:hAnsi="宋体" w:eastAsia="宋体" w:cs="Times New Roman"/>
                <w:color w:val="FF0000"/>
                <w:sz w:val="20"/>
                <w:szCs w:val="20"/>
              </w:rPr>
              <w:t>12或24个</w:t>
            </w:r>
            <w:r>
              <w:rPr>
                <w:rFonts w:ascii="宋体" w:hAnsi="宋体" w:eastAsia="宋体" w:cs="Times New Roman"/>
                <w:color w:val="FF0000"/>
                <w:sz w:val="20"/>
                <w:szCs w:val="20"/>
              </w:rPr>
              <w:t>月</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处罚金额=货</w:t>
            </w:r>
            <w:r>
              <w:rPr>
                <w:rFonts w:ascii="宋体" w:hAnsi="宋体" w:eastAsia="宋体" w:cs="Times New Roman"/>
                <w:color w:val="FF0000"/>
                <w:sz w:val="20"/>
                <w:szCs w:val="20"/>
              </w:rPr>
              <w:t>不对</w:t>
            </w:r>
            <w:r>
              <w:rPr>
                <w:rFonts w:hint="eastAsia" w:ascii="宋体" w:hAnsi="宋体" w:eastAsia="宋体" w:cs="Times New Roman"/>
                <w:color w:val="FF0000"/>
                <w:sz w:val="20"/>
                <w:szCs w:val="20"/>
              </w:rPr>
              <w:t>板</w:t>
            </w:r>
            <w:r>
              <w:rPr>
                <w:rFonts w:ascii="宋体" w:hAnsi="宋体" w:eastAsia="宋体" w:cs="Times New Roman"/>
                <w:color w:val="FF0000"/>
                <w:sz w:val="20"/>
                <w:szCs w:val="20"/>
              </w:rPr>
              <w:t>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金额×0.5</w:t>
            </w:r>
          </w:p>
        </w:tc>
      </w:tr>
      <w:tr>
        <w:tblPrEx>
          <w:tblCellMar>
            <w:top w:w="0" w:type="dxa"/>
            <w:left w:w="0" w:type="dxa"/>
            <w:bottom w:w="0" w:type="dxa"/>
            <w:right w:w="0" w:type="dxa"/>
          </w:tblCellMar>
        </w:tblPrEx>
        <w:trPr>
          <w:trHeight w:val="573"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已安装，需强制拆除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宋体" w:hAnsi="宋体" w:eastAsia="宋体" w:cs="Times New Roman"/>
                <w:color w:val="FF0000"/>
                <w:sz w:val="20"/>
                <w:szCs w:val="20"/>
              </w:rPr>
            </w:pPr>
            <w:r>
              <w:rPr>
                <w:rFonts w:hint="eastAsia" w:ascii="宋体" w:hAnsi="宋体" w:eastAsia="宋体" w:cs="Times New Roman"/>
                <w:color w:val="FF0000"/>
                <w:sz w:val="20"/>
                <w:szCs w:val="20"/>
              </w:rPr>
              <w:t>拆除重做</w:t>
            </w:r>
          </w:p>
          <w:p>
            <w:pPr>
              <w:rPr>
                <w:rFonts w:ascii="宋体" w:hAnsi="宋体" w:eastAsia="宋体" w:cs="Times New Roman"/>
                <w:color w:val="FF0000"/>
                <w:sz w:val="20"/>
                <w:szCs w:val="20"/>
              </w:rPr>
            </w:pPr>
            <w:r>
              <w:rPr>
                <w:rFonts w:hint="eastAsia" w:ascii="宋体" w:hAnsi="宋体" w:eastAsia="宋体" w:cs="Times New Roman"/>
                <w:color w:val="FF0000"/>
                <w:sz w:val="20"/>
                <w:szCs w:val="20"/>
              </w:rPr>
              <w:t>处罚金额=货</w:t>
            </w:r>
            <w:r>
              <w:rPr>
                <w:rFonts w:ascii="宋体" w:hAnsi="宋体" w:eastAsia="宋体" w:cs="Times New Roman"/>
                <w:color w:val="FF0000"/>
                <w:sz w:val="20"/>
                <w:szCs w:val="20"/>
              </w:rPr>
              <w:t>不对</w:t>
            </w:r>
            <w:r>
              <w:rPr>
                <w:rFonts w:hint="eastAsia" w:ascii="宋体" w:hAnsi="宋体" w:eastAsia="宋体" w:cs="Times New Roman"/>
                <w:color w:val="FF0000"/>
                <w:sz w:val="20"/>
                <w:szCs w:val="20"/>
              </w:rPr>
              <w:t>板</w:t>
            </w:r>
            <w:r>
              <w:rPr>
                <w:rFonts w:ascii="宋体" w:hAnsi="宋体" w:eastAsia="宋体" w:cs="Times New Roman"/>
                <w:color w:val="FF0000"/>
                <w:sz w:val="20"/>
                <w:szCs w:val="20"/>
              </w:rPr>
              <w:t>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金额×0.5</w:t>
            </w:r>
          </w:p>
        </w:tc>
      </w:tr>
      <w:tr>
        <w:tblPrEx>
          <w:tblCellMar>
            <w:top w:w="0" w:type="dxa"/>
            <w:left w:w="0" w:type="dxa"/>
            <w:bottom w:w="0" w:type="dxa"/>
            <w:right w:w="0" w:type="dxa"/>
          </w:tblCellMar>
        </w:tblPrEx>
        <w:trPr>
          <w:trHeight w:val="695" w:hRule="atLeast"/>
          <w:jc w:val="center"/>
        </w:trPr>
        <w:tc>
          <w:tcPr>
            <w:tcW w:w="955" w:type="pct"/>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偷工减料</w:t>
            </w:r>
          </w:p>
        </w:tc>
        <w:tc>
          <w:tcPr>
            <w:tcW w:w="1336" w:type="pct"/>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材料、设备相关技术参数（如厚度、等级等）低于合同约定</w:t>
            </w: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已到场，未安装</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材料退场</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处罚金额=偷</w:t>
            </w:r>
            <w:r>
              <w:rPr>
                <w:rFonts w:ascii="宋体" w:hAnsi="宋体" w:eastAsia="宋体" w:cs="Times New Roman"/>
                <w:color w:val="FF0000"/>
                <w:sz w:val="20"/>
                <w:szCs w:val="20"/>
              </w:rPr>
              <w:t>工减料批次产品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金额×0.3。</w:t>
            </w:r>
          </w:p>
        </w:tc>
      </w:tr>
      <w:tr>
        <w:tblPrEx>
          <w:tblCellMar>
            <w:top w:w="0" w:type="dxa"/>
            <w:left w:w="0" w:type="dxa"/>
            <w:bottom w:w="0" w:type="dxa"/>
            <w:right w:w="0" w:type="dxa"/>
          </w:tblCellMar>
        </w:tblPrEx>
        <w:trPr>
          <w:trHeight w:val="695"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安装</w:t>
            </w:r>
            <w:r>
              <w:rPr>
                <w:rFonts w:ascii="宋体" w:hAnsi="宋体" w:eastAsia="宋体" w:cs="Times New Roman"/>
                <w:color w:val="FF0000"/>
                <w:sz w:val="20"/>
                <w:szCs w:val="20"/>
              </w:rPr>
              <w:t>且与交付标准</w:t>
            </w:r>
            <w:r>
              <w:rPr>
                <w:rFonts w:hint="eastAsia" w:ascii="宋体" w:hAnsi="宋体" w:eastAsia="宋体" w:cs="Times New Roman"/>
                <w:color w:val="FF0000"/>
                <w:sz w:val="20"/>
                <w:szCs w:val="20"/>
              </w:rPr>
              <w:t>无</w:t>
            </w:r>
            <w:r>
              <w:rPr>
                <w:rFonts w:ascii="宋体" w:hAnsi="宋体" w:eastAsia="宋体" w:cs="Times New Roman"/>
                <w:color w:val="FF0000"/>
                <w:sz w:val="20"/>
                <w:szCs w:val="20"/>
              </w:rPr>
              <w:t>冲突，</w:t>
            </w:r>
            <w:r>
              <w:rPr>
                <w:rFonts w:hint="eastAsia" w:ascii="宋体" w:hAnsi="宋体" w:eastAsia="宋体" w:cs="Times New Roman"/>
                <w:color w:val="FF0000"/>
                <w:sz w:val="20"/>
                <w:szCs w:val="20"/>
              </w:rPr>
              <w:t>可</w:t>
            </w:r>
            <w:r>
              <w:rPr>
                <w:rFonts w:ascii="宋体" w:hAnsi="宋体" w:eastAsia="宋体" w:cs="Times New Roman"/>
                <w:color w:val="FF0000"/>
                <w:sz w:val="20"/>
                <w:szCs w:val="20"/>
              </w:rPr>
              <w:t>不</w:t>
            </w:r>
            <w:r>
              <w:rPr>
                <w:rFonts w:hint="eastAsia" w:ascii="宋体" w:hAnsi="宋体" w:eastAsia="宋体" w:cs="Times New Roman"/>
                <w:color w:val="FF0000"/>
                <w:sz w:val="20"/>
                <w:szCs w:val="20"/>
              </w:rPr>
              <w:t>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延长</w:t>
            </w:r>
            <w:r>
              <w:rPr>
                <w:rFonts w:ascii="宋体" w:hAnsi="宋体" w:eastAsia="宋体" w:cs="Times New Roman"/>
                <w:color w:val="FF0000"/>
                <w:sz w:val="20"/>
                <w:szCs w:val="20"/>
              </w:rPr>
              <w:t>保修</w:t>
            </w:r>
            <w:r>
              <w:rPr>
                <w:rFonts w:hint="eastAsia" w:ascii="宋体" w:hAnsi="宋体" w:eastAsia="宋体" w:cs="Times New Roman"/>
                <w:color w:val="FF0000"/>
                <w:sz w:val="20"/>
                <w:szCs w:val="20"/>
              </w:rPr>
              <w:t>12或24个</w:t>
            </w:r>
            <w:r>
              <w:rPr>
                <w:rFonts w:ascii="宋体" w:hAnsi="宋体" w:eastAsia="宋体" w:cs="Times New Roman"/>
                <w:color w:val="FF0000"/>
                <w:sz w:val="20"/>
                <w:szCs w:val="20"/>
              </w:rPr>
              <w:t>月</w:t>
            </w:r>
          </w:p>
          <w:p>
            <w:pPr>
              <w:rPr>
                <w:rFonts w:ascii="宋体" w:hAnsi="宋体" w:eastAsia="宋体" w:cs="Times New Roman"/>
                <w:color w:val="FF0000"/>
                <w:sz w:val="20"/>
                <w:szCs w:val="20"/>
              </w:rPr>
            </w:pPr>
            <w:r>
              <w:rPr>
                <w:rFonts w:hint="eastAsia" w:ascii="宋体" w:hAnsi="宋体" w:eastAsia="宋体" w:cs="Times New Roman"/>
                <w:color w:val="FF0000"/>
                <w:sz w:val="20"/>
                <w:szCs w:val="20"/>
              </w:rPr>
              <w:t>处罚金额=偷</w:t>
            </w:r>
            <w:r>
              <w:rPr>
                <w:rFonts w:ascii="宋体" w:hAnsi="宋体" w:eastAsia="宋体" w:cs="Times New Roman"/>
                <w:color w:val="FF0000"/>
                <w:sz w:val="20"/>
                <w:szCs w:val="20"/>
              </w:rPr>
              <w:t>工减料批次产品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金额×0.5。</w:t>
            </w:r>
          </w:p>
        </w:tc>
      </w:tr>
      <w:tr>
        <w:tblPrEx>
          <w:tblCellMar>
            <w:top w:w="0" w:type="dxa"/>
            <w:left w:w="0" w:type="dxa"/>
            <w:bottom w:w="0" w:type="dxa"/>
            <w:right w:w="0" w:type="dxa"/>
          </w:tblCellMar>
        </w:tblPrEx>
        <w:trPr>
          <w:trHeight w:val="695"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已安装，需强制拆除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宋体" w:hAnsi="宋体" w:eastAsia="宋体" w:cs="Times New Roman"/>
                <w:color w:val="FF0000"/>
                <w:sz w:val="20"/>
                <w:szCs w:val="20"/>
              </w:rPr>
            </w:pPr>
            <w:r>
              <w:rPr>
                <w:rFonts w:hint="eastAsia" w:ascii="宋体" w:hAnsi="宋体" w:eastAsia="宋体" w:cs="Times New Roman"/>
                <w:color w:val="FF0000"/>
                <w:sz w:val="20"/>
                <w:szCs w:val="20"/>
              </w:rPr>
              <w:t>拆除重做</w:t>
            </w:r>
          </w:p>
          <w:p>
            <w:pPr>
              <w:rPr>
                <w:rFonts w:ascii="宋体" w:hAnsi="宋体" w:eastAsia="宋体" w:cs="Times New Roman"/>
                <w:color w:val="FF0000"/>
                <w:sz w:val="20"/>
                <w:szCs w:val="20"/>
              </w:rPr>
            </w:pPr>
            <w:r>
              <w:rPr>
                <w:rFonts w:hint="eastAsia" w:ascii="宋体" w:hAnsi="宋体" w:eastAsia="宋体" w:cs="Times New Roman"/>
                <w:color w:val="FF0000"/>
                <w:sz w:val="20"/>
                <w:szCs w:val="20"/>
              </w:rPr>
              <w:t>处罚金额=偷</w:t>
            </w:r>
            <w:r>
              <w:rPr>
                <w:rFonts w:ascii="宋体" w:hAnsi="宋体" w:eastAsia="宋体" w:cs="Times New Roman"/>
                <w:color w:val="FF0000"/>
                <w:sz w:val="20"/>
                <w:szCs w:val="20"/>
              </w:rPr>
              <w:t>工减料批次产品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金额×0.5。</w:t>
            </w:r>
          </w:p>
        </w:tc>
      </w:tr>
      <w:tr>
        <w:tblPrEx>
          <w:tblCellMar>
            <w:top w:w="0" w:type="dxa"/>
            <w:left w:w="0" w:type="dxa"/>
            <w:bottom w:w="0" w:type="dxa"/>
            <w:right w:w="0" w:type="dxa"/>
          </w:tblCellMar>
        </w:tblPrEx>
        <w:trPr>
          <w:trHeight w:val="695" w:hRule="atLeast"/>
          <w:jc w:val="center"/>
        </w:trPr>
        <w:tc>
          <w:tcPr>
            <w:tcW w:w="955" w:type="pct"/>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弄虚作假</w:t>
            </w:r>
          </w:p>
        </w:tc>
        <w:tc>
          <w:tcPr>
            <w:tcW w:w="1336" w:type="pct"/>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设置虚假标识等欺诈行为</w:t>
            </w: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已到场，未安装</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材料退场</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处罚金额=弄</w:t>
            </w:r>
            <w:r>
              <w:rPr>
                <w:rFonts w:ascii="宋体" w:hAnsi="宋体" w:eastAsia="宋体" w:cs="Times New Roman"/>
                <w:color w:val="FF0000"/>
                <w:sz w:val="20"/>
                <w:szCs w:val="20"/>
              </w:rPr>
              <w:t>虚</w:t>
            </w:r>
            <w:r>
              <w:rPr>
                <w:rFonts w:hint="eastAsia" w:ascii="宋体" w:hAnsi="宋体" w:eastAsia="宋体" w:cs="Times New Roman"/>
                <w:color w:val="FF0000"/>
                <w:sz w:val="20"/>
                <w:szCs w:val="20"/>
              </w:rPr>
              <w:t>作</w:t>
            </w:r>
            <w:r>
              <w:rPr>
                <w:rFonts w:ascii="宋体" w:hAnsi="宋体" w:eastAsia="宋体" w:cs="Times New Roman"/>
                <w:color w:val="FF0000"/>
                <w:sz w:val="20"/>
                <w:szCs w:val="20"/>
              </w:rPr>
              <w:t>假批次产品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金额×1.5；</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停标1年</w:t>
            </w:r>
          </w:p>
        </w:tc>
      </w:tr>
      <w:tr>
        <w:tblPrEx>
          <w:tblCellMar>
            <w:top w:w="0" w:type="dxa"/>
            <w:left w:w="0" w:type="dxa"/>
            <w:bottom w:w="0" w:type="dxa"/>
            <w:right w:w="0" w:type="dxa"/>
          </w:tblCellMar>
        </w:tblPrEx>
        <w:trPr>
          <w:trHeight w:val="755"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安装</w:t>
            </w:r>
            <w:r>
              <w:rPr>
                <w:rFonts w:ascii="宋体" w:hAnsi="宋体" w:eastAsia="宋体" w:cs="Times New Roman"/>
                <w:color w:val="FF0000"/>
                <w:sz w:val="20"/>
                <w:szCs w:val="20"/>
              </w:rPr>
              <w:t>且与交付标准</w:t>
            </w:r>
            <w:r>
              <w:rPr>
                <w:rFonts w:hint="eastAsia" w:ascii="宋体" w:hAnsi="宋体" w:eastAsia="宋体" w:cs="Times New Roman"/>
                <w:color w:val="FF0000"/>
                <w:sz w:val="20"/>
                <w:szCs w:val="20"/>
              </w:rPr>
              <w:t>无</w:t>
            </w:r>
            <w:r>
              <w:rPr>
                <w:rFonts w:ascii="宋体" w:hAnsi="宋体" w:eastAsia="宋体" w:cs="Times New Roman"/>
                <w:color w:val="FF0000"/>
                <w:sz w:val="20"/>
                <w:szCs w:val="20"/>
              </w:rPr>
              <w:t>冲突，</w:t>
            </w:r>
            <w:r>
              <w:rPr>
                <w:rFonts w:hint="eastAsia" w:ascii="宋体" w:hAnsi="宋体" w:eastAsia="宋体" w:cs="Times New Roman"/>
                <w:color w:val="FF0000"/>
                <w:sz w:val="20"/>
                <w:szCs w:val="20"/>
              </w:rPr>
              <w:t>可</w:t>
            </w:r>
            <w:r>
              <w:rPr>
                <w:rFonts w:ascii="宋体" w:hAnsi="宋体" w:eastAsia="宋体" w:cs="Times New Roman"/>
                <w:color w:val="FF0000"/>
                <w:sz w:val="20"/>
                <w:szCs w:val="20"/>
              </w:rPr>
              <w:t>不</w:t>
            </w:r>
            <w:r>
              <w:rPr>
                <w:rFonts w:hint="eastAsia" w:ascii="宋体" w:hAnsi="宋体" w:eastAsia="宋体" w:cs="Times New Roman"/>
                <w:color w:val="FF0000"/>
                <w:sz w:val="20"/>
                <w:szCs w:val="20"/>
              </w:rPr>
              <w:t>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延长</w:t>
            </w:r>
            <w:r>
              <w:rPr>
                <w:rFonts w:ascii="宋体" w:hAnsi="宋体" w:eastAsia="宋体" w:cs="Times New Roman"/>
                <w:color w:val="FF0000"/>
                <w:sz w:val="20"/>
                <w:szCs w:val="20"/>
              </w:rPr>
              <w:t>保修</w:t>
            </w:r>
            <w:r>
              <w:rPr>
                <w:rFonts w:hint="eastAsia" w:ascii="宋体" w:hAnsi="宋体" w:eastAsia="宋体" w:cs="Times New Roman"/>
                <w:color w:val="FF0000"/>
                <w:sz w:val="20"/>
                <w:szCs w:val="20"/>
              </w:rPr>
              <w:t>12或24个</w:t>
            </w:r>
            <w:r>
              <w:rPr>
                <w:rFonts w:ascii="宋体" w:hAnsi="宋体" w:eastAsia="宋体" w:cs="Times New Roman"/>
                <w:color w:val="FF0000"/>
                <w:sz w:val="20"/>
                <w:szCs w:val="20"/>
              </w:rPr>
              <w:t>月</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处罚金额=弄</w:t>
            </w:r>
            <w:r>
              <w:rPr>
                <w:rFonts w:ascii="宋体" w:hAnsi="宋体" w:eastAsia="宋体" w:cs="Times New Roman"/>
                <w:color w:val="FF0000"/>
                <w:sz w:val="20"/>
                <w:szCs w:val="20"/>
              </w:rPr>
              <w:t>虚</w:t>
            </w:r>
            <w:r>
              <w:rPr>
                <w:rFonts w:hint="eastAsia" w:ascii="宋体" w:hAnsi="宋体" w:eastAsia="宋体" w:cs="Times New Roman"/>
                <w:color w:val="FF0000"/>
                <w:sz w:val="20"/>
                <w:szCs w:val="20"/>
              </w:rPr>
              <w:t>作</w:t>
            </w:r>
            <w:r>
              <w:rPr>
                <w:rFonts w:ascii="宋体" w:hAnsi="宋体" w:eastAsia="宋体" w:cs="Times New Roman"/>
                <w:color w:val="FF0000"/>
                <w:sz w:val="20"/>
                <w:szCs w:val="20"/>
              </w:rPr>
              <w:t>假批次产品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金额×2.0；</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停标1年</w:t>
            </w:r>
          </w:p>
        </w:tc>
      </w:tr>
      <w:tr>
        <w:tblPrEx>
          <w:tblCellMar>
            <w:top w:w="0" w:type="dxa"/>
            <w:left w:w="0" w:type="dxa"/>
            <w:bottom w:w="0" w:type="dxa"/>
            <w:right w:w="0" w:type="dxa"/>
          </w:tblCellMar>
        </w:tblPrEx>
        <w:trPr>
          <w:trHeight w:val="755"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已安装，需强制拆除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宋体" w:hAnsi="宋体" w:eastAsia="宋体" w:cs="Times New Roman"/>
                <w:color w:val="FF0000"/>
                <w:sz w:val="20"/>
                <w:szCs w:val="20"/>
              </w:rPr>
            </w:pPr>
            <w:r>
              <w:rPr>
                <w:rFonts w:hint="eastAsia" w:ascii="宋体" w:hAnsi="宋体" w:eastAsia="宋体" w:cs="Times New Roman"/>
                <w:color w:val="FF0000"/>
                <w:sz w:val="20"/>
                <w:szCs w:val="20"/>
              </w:rPr>
              <w:t>拆除重做</w:t>
            </w:r>
          </w:p>
          <w:p>
            <w:pPr>
              <w:rPr>
                <w:rFonts w:ascii="宋体" w:hAnsi="宋体" w:eastAsia="宋体" w:cs="Times New Roman"/>
                <w:color w:val="FF0000"/>
                <w:sz w:val="20"/>
                <w:szCs w:val="20"/>
              </w:rPr>
            </w:pPr>
            <w:r>
              <w:rPr>
                <w:rFonts w:hint="eastAsia" w:ascii="宋体" w:hAnsi="宋体" w:eastAsia="宋体" w:cs="Times New Roman"/>
                <w:color w:val="FF0000"/>
                <w:sz w:val="20"/>
                <w:szCs w:val="20"/>
              </w:rPr>
              <w:t>处罚金额=弄</w:t>
            </w:r>
            <w:r>
              <w:rPr>
                <w:rFonts w:ascii="宋体" w:hAnsi="宋体" w:eastAsia="宋体" w:cs="Times New Roman"/>
                <w:color w:val="FF0000"/>
                <w:sz w:val="20"/>
                <w:szCs w:val="20"/>
              </w:rPr>
              <w:t>虚</w:t>
            </w:r>
            <w:r>
              <w:rPr>
                <w:rFonts w:hint="eastAsia" w:ascii="宋体" w:hAnsi="宋体" w:eastAsia="宋体" w:cs="Times New Roman"/>
                <w:color w:val="FF0000"/>
                <w:sz w:val="20"/>
                <w:szCs w:val="20"/>
              </w:rPr>
              <w:t>作</w:t>
            </w:r>
            <w:r>
              <w:rPr>
                <w:rFonts w:ascii="宋体" w:hAnsi="宋体" w:eastAsia="宋体" w:cs="Times New Roman"/>
                <w:color w:val="FF0000"/>
                <w:sz w:val="20"/>
                <w:szCs w:val="20"/>
              </w:rPr>
              <w:t>假批次产品</w:t>
            </w:r>
            <w:r>
              <w:rPr>
                <w:rFonts w:hint="eastAsia" w:ascii="宋体" w:hAnsi="宋体" w:eastAsia="宋体" w:cs="Times New Roman"/>
                <w:color w:val="FF0000"/>
                <w:sz w:val="20"/>
                <w:szCs w:val="20"/>
              </w:rPr>
              <w:t>对应</w:t>
            </w:r>
            <w:r>
              <w:rPr>
                <w:rFonts w:ascii="宋体" w:hAnsi="宋体" w:eastAsia="宋体" w:cs="Times New Roman"/>
                <w:color w:val="FF0000"/>
                <w:sz w:val="20"/>
                <w:szCs w:val="20"/>
              </w:rPr>
              <w:t>的合同</w:t>
            </w:r>
            <w:r>
              <w:rPr>
                <w:rFonts w:hint="eastAsia" w:ascii="宋体" w:hAnsi="宋体" w:eastAsia="宋体" w:cs="Times New Roman"/>
                <w:color w:val="FF0000"/>
                <w:sz w:val="20"/>
                <w:szCs w:val="20"/>
              </w:rPr>
              <w:t>金额×2.0；</w:t>
            </w:r>
          </w:p>
          <w:p>
            <w:pPr>
              <w:rPr>
                <w:rFonts w:ascii="宋体" w:hAnsi="宋体" w:eastAsia="宋体" w:cs="Times New Roman"/>
                <w:color w:val="FF0000"/>
                <w:sz w:val="20"/>
                <w:szCs w:val="20"/>
              </w:rPr>
            </w:pPr>
            <w:r>
              <w:rPr>
                <w:rFonts w:hint="eastAsia" w:ascii="宋体" w:hAnsi="宋体" w:eastAsia="宋体" w:cs="Times New Roman"/>
                <w:color w:val="FF0000"/>
                <w:sz w:val="20"/>
                <w:szCs w:val="20"/>
              </w:rPr>
              <w:t>停标1年</w:t>
            </w:r>
          </w:p>
        </w:tc>
      </w:tr>
      <w:tr>
        <w:tblPrEx>
          <w:tblCellMar>
            <w:top w:w="0" w:type="dxa"/>
            <w:left w:w="0" w:type="dxa"/>
            <w:bottom w:w="0" w:type="dxa"/>
            <w:right w:w="0" w:type="dxa"/>
          </w:tblCellMar>
        </w:tblPrEx>
        <w:trPr>
          <w:trHeight w:val="755" w:hRule="atLeast"/>
          <w:jc w:val="center"/>
        </w:trPr>
        <w:tc>
          <w:tcPr>
            <w:tcW w:w="955" w:type="pct"/>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系统性质量问题</w:t>
            </w:r>
          </w:p>
        </w:tc>
        <w:tc>
          <w:tcPr>
            <w:tcW w:w="1336" w:type="pct"/>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指乙供材料使用或施工不当造成</w:t>
            </w: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已到场，未安装</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不合格材料全部退场</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停标6个月、并处罚10至100万元</w:t>
            </w:r>
          </w:p>
        </w:tc>
      </w:tr>
      <w:tr>
        <w:tblPrEx>
          <w:tblCellMar>
            <w:top w:w="0" w:type="dxa"/>
            <w:left w:w="0" w:type="dxa"/>
            <w:bottom w:w="0" w:type="dxa"/>
            <w:right w:w="0" w:type="dxa"/>
          </w:tblCellMar>
        </w:tblPrEx>
        <w:trPr>
          <w:trHeight w:val="755"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已安装，无法拆除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停标6个月、处罚10至100万元，并承担因此带来的任何损失和风险。</w:t>
            </w:r>
          </w:p>
        </w:tc>
      </w:tr>
      <w:tr>
        <w:tblPrEx>
          <w:tblCellMar>
            <w:top w:w="0" w:type="dxa"/>
            <w:left w:w="0" w:type="dxa"/>
            <w:bottom w:w="0" w:type="dxa"/>
            <w:right w:w="0" w:type="dxa"/>
          </w:tblCellMar>
        </w:tblPrEx>
        <w:trPr>
          <w:trHeight w:val="755" w:hRule="atLeast"/>
          <w:jc w:val="center"/>
        </w:trPr>
        <w:tc>
          <w:tcPr>
            <w:tcW w:w="955" w:type="pct"/>
            <w:vMerge w:val="continue"/>
            <w:tcBorders>
              <w:top w:val="nil"/>
              <w:left w:val="single" w:color="auto" w:sz="8" w:space="0"/>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336" w:type="pct"/>
            <w:vMerge w:val="continue"/>
            <w:tcBorders>
              <w:top w:val="nil"/>
              <w:left w:val="nil"/>
              <w:bottom w:val="single" w:color="auto" w:sz="8" w:space="0"/>
              <w:right w:val="single" w:color="auto" w:sz="8" w:space="0"/>
            </w:tcBorders>
            <w:vAlign w:val="center"/>
          </w:tcPr>
          <w:p>
            <w:pPr>
              <w:jc w:val="left"/>
              <w:rPr>
                <w:rFonts w:ascii="宋体" w:hAnsi="宋体" w:eastAsia="宋体" w:cs="宋体"/>
                <w:color w:val="FF0000"/>
                <w:sz w:val="20"/>
                <w:szCs w:val="20"/>
              </w:rPr>
            </w:pPr>
          </w:p>
        </w:tc>
        <w:tc>
          <w:tcPr>
            <w:tcW w:w="1076"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宋体" w:hAnsi="宋体" w:eastAsia="宋体" w:cs="Times New Roman"/>
                <w:color w:val="FF0000"/>
                <w:sz w:val="20"/>
                <w:szCs w:val="20"/>
              </w:rPr>
            </w:pPr>
            <w:r>
              <w:rPr>
                <w:rFonts w:hint="eastAsia" w:ascii="宋体" w:hAnsi="宋体" w:eastAsia="宋体" w:cs="Times New Roman"/>
                <w:color w:val="FF0000"/>
                <w:sz w:val="20"/>
                <w:szCs w:val="20"/>
              </w:rPr>
              <w:t>已安装，需强制拆除</w:t>
            </w:r>
          </w:p>
        </w:tc>
        <w:tc>
          <w:tcPr>
            <w:tcW w:w="1633" w:type="pct"/>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拆除重做</w:t>
            </w:r>
          </w:p>
          <w:p>
            <w:pPr>
              <w:jc w:val="left"/>
              <w:rPr>
                <w:rFonts w:ascii="宋体" w:hAnsi="宋体" w:eastAsia="宋体" w:cs="Times New Roman"/>
                <w:color w:val="FF0000"/>
                <w:sz w:val="20"/>
                <w:szCs w:val="20"/>
              </w:rPr>
            </w:pPr>
            <w:r>
              <w:rPr>
                <w:rFonts w:hint="eastAsia" w:ascii="宋体" w:hAnsi="宋体" w:eastAsia="宋体" w:cs="Times New Roman"/>
                <w:color w:val="FF0000"/>
                <w:sz w:val="20"/>
                <w:szCs w:val="20"/>
              </w:rPr>
              <w:t>停标6个月、处罚10至100万元，并承担因此带来的任何损失和风险。</w:t>
            </w:r>
          </w:p>
        </w:tc>
      </w:tr>
    </w:tbl>
    <w:p>
      <w:pPr>
        <w:adjustRightInd w:val="0"/>
        <w:snapToGrid w:val="0"/>
        <w:jc w:val="left"/>
        <w:textAlignment w:val="baseline"/>
        <w:rPr>
          <w:rFonts w:ascii="Times New Roman" w:hAnsi="宋体" w:eastAsia="宋体" w:cs="Times New Roman"/>
          <w:b/>
          <w:color w:val="FF0000"/>
          <w:sz w:val="24"/>
          <w:szCs w:val="24"/>
        </w:rPr>
      </w:pPr>
    </w:p>
    <w:p/>
    <w:sectPr>
      <w:footerReference r:id="rId3" w:type="default"/>
      <w:footerReference r:id="rId4" w:type="even"/>
      <w:pgSz w:w="11906" w:h="16838"/>
      <w:pgMar w:top="1418" w:right="1418" w:bottom="1418"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仿宋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11</w:t>
    </w:r>
    <w:r>
      <w:fldChar w:fldCharType="end"/>
    </w:r>
  </w:p>
  <w:p>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DB57BE"/>
    <w:multiLevelType w:val="multilevel"/>
    <w:tmpl w:val="39DB57BE"/>
    <w:lvl w:ilvl="0" w:tentative="0">
      <w:start w:val="9"/>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3DDC6FF8"/>
    <w:multiLevelType w:val="multilevel"/>
    <w:tmpl w:val="3DDC6FF8"/>
    <w:lvl w:ilvl="0" w:tentative="0">
      <w:start w:val="5"/>
      <w:numFmt w:val="japaneseCounting"/>
      <w:lvlText w:val="%1、"/>
      <w:lvlJc w:val="left"/>
      <w:pPr>
        <w:ind w:left="745" w:hanging="504"/>
      </w:pPr>
      <w:rPr>
        <w:rFonts w:hint="default"/>
      </w:rPr>
    </w:lvl>
    <w:lvl w:ilvl="1" w:tentative="0">
      <w:start w:val="1"/>
      <w:numFmt w:val="lowerLetter"/>
      <w:lvlText w:val="%2)"/>
      <w:lvlJc w:val="left"/>
      <w:pPr>
        <w:ind w:left="1081" w:hanging="420"/>
      </w:pPr>
    </w:lvl>
    <w:lvl w:ilvl="2" w:tentative="0">
      <w:start w:val="1"/>
      <w:numFmt w:val="lowerRoman"/>
      <w:lvlText w:val="%3."/>
      <w:lvlJc w:val="right"/>
      <w:pPr>
        <w:ind w:left="1501" w:hanging="420"/>
      </w:pPr>
    </w:lvl>
    <w:lvl w:ilvl="3" w:tentative="0">
      <w:start w:val="1"/>
      <w:numFmt w:val="decimal"/>
      <w:lvlText w:val="%4."/>
      <w:lvlJc w:val="left"/>
      <w:pPr>
        <w:ind w:left="1921" w:hanging="420"/>
      </w:pPr>
    </w:lvl>
    <w:lvl w:ilvl="4" w:tentative="0">
      <w:start w:val="1"/>
      <w:numFmt w:val="lowerLetter"/>
      <w:lvlText w:val="%5)"/>
      <w:lvlJc w:val="left"/>
      <w:pPr>
        <w:ind w:left="2341" w:hanging="420"/>
      </w:pPr>
    </w:lvl>
    <w:lvl w:ilvl="5" w:tentative="0">
      <w:start w:val="1"/>
      <w:numFmt w:val="lowerRoman"/>
      <w:lvlText w:val="%6."/>
      <w:lvlJc w:val="right"/>
      <w:pPr>
        <w:ind w:left="2761" w:hanging="420"/>
      </w:pPr>
    </w:lvl>
    <w:lvl w:ilvl="6" w:tentative="0">
      <w:start w:val="1"/>
      <w:numFmt w:val="decimal"/>
      <w:lvlText w:val="%7."/>
      <w:lvlJc w:val="left"/>
      <w:pPr>
        <w:ind w:left="3181" w:hanging="420"/>
      </w:pPr>
    </w:lvl>
    <w:lvl w:ilvl="7" w:tentative="0">
      <w:start w:val="1"/>
      <w:numFmt w:val="lowerLetter"/>
      <w:lvlText w:val="%8)"/>
      <w:lvlJc w:val="left"/>
      <w:pPr>
        <w:ind w:left="3601" w:hanging="420"/>
      </w:pPr>
    </w:lvl>
    <w:lvl w:ilvl="8" w:tentative="0">
      <w:start w:val="1"/>
      <w:numFmt w:val="lowerRoman"/>
      <w:lvlText w:val="%9."/>
      <w:lvlJc w:val="right"/>
      <w:pPr>
        <w:ind w:left="4021" w:hanging="420"/>
      </w:pPr>
    </w:lvl>
  </w:abstractNum>
  <w:abstractNum w:abstractNumId="2">
    <w:nsid w:val="48A518FA"/>
    <w:multiLevelType w:val="multilevel"/>
    <w:tmpl w:val="48A518FA"/>
    <w:lvl w:ilvl="0" w:tentative="0">
      <w:start w:val="1"/>
      <w:numFmt w:val="decimal"/>
      <w:lvlText w:val="%1、"/>
      <w:lvlJc w:val="left"/>
      <w:pPr>
        <w:ind w:left="900" w:hanging="360"/>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xOWIwYTA2NTYzNzA2NmQxNTVlM2U5ZWI0ZTZlMTgifQ=="/>
  </w:docVars>
  <w:rsids>
    <w:rsidRoot w:val="0065753B"/>
    <w:rsid w:val="00067F56"/>
    <w:rsid w:val="00232439"/>
    <w:rsid w:val="002358BC"/>
    <w:rsid w:val="002966B4"/>
    <w:rsid w:val="002A355E"/>
    <w:rsid w:val="002C0EE1"/>
    <w:rsid w:val="005C1C99"/>
    <w:rsid w:val="005F2101"/>
    <w:rsid w:val="00640CDA"/>
    <w:rsid w:val="006548B1"/>
    <w:rsid w:val="0065753B"/>
    <w:rsid w:val="00823E7B"/>
    <w:rsid w:val="00831E67"/>
    <w:rsid w:val="009654F0"/>
    <w:rsid w:val="00AF368B"/>
    <w:rsid w:val="00C172C7"/>
    <w:rsid w:val="00C22464"/>
    <w:rsid w:val="00CB5198"/>
    <w:rsid w:val="00D812D4"/>
    <w:rsid w:val="00DF09E0"/>
    <w:rsid w:val="00EC349C"/>
    <w:rsid w:val="00FB44CD"/>
    <w:rsid w:val="1E4F7829"/>
    <w:rsid w:val="22450924"/>
    <w:rsid w:val="2F0F43EF"/>
    <w:rsid w:val="2F3408A9"/>
    <w:rsid w:val="3FAA599F"/>
    <w:rsid w:val="61686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hint="eastAsia" w:ascii="宋体" w:hAnsi="宋体" w:eastAsia="宋体" w:cs="Times New Roman"/>
      <w:kern w:val="0"/>
      <w:sz w:val="24"/>
      <w:szCs w:val="24"/>
    </w:rPr>
  </w:style>
  <w:style w:type="character" w:styleId="7">
    <w:name w:val="page number"/>
    <w:basedOn w:val="6"/>
    <w:uiPriority w:val="0"/>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file:///D:\&#34701;&#21019;\&#21508;&#31867;&#25903;&#25745;&#25991;&#20214;\&#24037;&#31243;&#30456;&#20851;&#35201;&#27714;\think\AppData\Roaming\Tencent\Users\360431577\QQ\WinTemp\RichOle\@%252525FCSUSKJ77F5%25257b%2525257$HJ9)6W.jpg" TargetMode="External"/><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7185</Words>
  <Characters>7761</Characters>
  <Lines>87</Lines>
  <Paragraphs>24</Paragraphs>
  <TotalTime>2</TotalTime>
  <ScaleCrop>false</ScaleCrop>
  <LinksUpToDate>false</LinksUpToDate>
  <CharactersWithSpaces>7974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2022-09-05T02:32:00Z</dcterms:created>
  <dc:creator>632983319@qq.com</dc:creator>
  <cp:lastModifiedBy>....   .</cp:lastModifiedBy>
  <dcterms:modified xsi:type="dcterms:W3CDTF">2023-02-23T12:54:26Z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9EC2EF18E1C64021A02D0E7928DE1F3E</vt:lpwstr>
  </property>
</Properties>
</file>